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Times New Roman" w:hAnsi="Times New Roman" w:eastAsia="仿宋_GB2312"/>
          <w:sz w:val="32"/>
          <w:szCs w:val="32"/>
        </w:rPr>
      </w:pPr>
      <w:bookmarkStart w:id="3" w:name="_GoBack"/>
      <w:bookmarkEnd w:id="3"/>
    </w:p>
    <w:p>
      <w:pPr>
        <w:adjustRightInd w:val="0"/>
        <w:snapToGrid w:val="0"/>
        <w:spacing w:line="560" w:lineRule="exact"/>
        <w:jc w:val="center"/>
        <w:rPr>
          <w:rFonts w:hint="eastAsia" w:ascii="Times New Roman" w:hAnsi="Times New Roman" w:eastAsia="方正小标宋简体"/>
          <w:sz w:val="44"/>
          <w:szCs w:val="44"/>
        </w:rPr>
      </w:pPr>
    </w:p>
    <w:p>
      <w:pPr>
        <w:keepNext w:val="0"/>
        <w:keepLines w:val="0"/>
        <w:pageBreakBefore w:val="0"/>
        <w:widowControl w:val="0"/>
        <w:kinsoku/>
        <w:wordWrap/>
        <w:topLinePunct w:val="0"/>
        <w:autoSpaceDE/>
        <w:autoSpaceDN/>
        <w:bidi w:val="0"/>
        <w:adjustRightInd w:val="0"/>
        <w:snapToGrid w:val="0"/>
        <w:spacing w:line="560" w:lineRule="exact"/>
        <w:jc w:val="center"/>
        <w:textAlignment w:val="auto"/>
        <w:rPr>
          <w:rFonts w:hint="eastAsia" w:ascii="Times New Roman" w:hAnsi="Times New Roman" w:eastAsia="方正小标宋简体"/>
          <w:bCs/>
          <w:sz w:val="44"/>
          <w:szCs w:val="44"/>
          <w:lang w:val="en-US" w:eastAsia="zh-CN"/>
        </w:rPr>
      </w:pPr>
      <w:bookmarkStart w:id="0" w:name="Bt"/>
      <w:r>
        <w:rPr>
          <w:rFonts w:hint="eastAsia" w:ascii="Times New Roman" w:hAnsi="Times New Roman" w:eastAsia="方正小标宋简体"/>
          <w:bCs/>
          <w:sz w:val="44"/>
          <w:szCs w:val="44"/>
          <w:lang w:val="en-US" w:eastAsia="zh-CN"/>
        </w:rPr>
        <w:t>津南区人民政府关于印发津南区</w:t>
      </w:r>
    </w:p>
    <w:p>
      <w:pPr>
        <w:keepNext w:val="0"/>
        <w:keepLines w:val="0"/>
        <w:pageBreakBefore w:val="0"/>
        <w:widowControl w:val="0"/>
        <w:kinsoku/>
        <w:wordWrap/>
        <w:topLinePunct w:val="0"/>
        <w:autoSpaceDE/>
        <w:autoSpaceDN/>
        <w:bidi w:val="0"/>
        <w:adjustRightInd w:val="0"/>
        <w:snapToGrid w:val="0"/>
        <w:spacing w:line="560" w:lineRule="exact"/>
        <w:jc w:val="center"/>
        <w:textAlignment w:val="auto"/>
        <w:rPr>
          <w:rFonts w:hint="eastAsia" w:ascii="Times New Roman" w:hAnsi="Times New Roman" w:eastAsia="方正小标宋简体"/>
          <w:bCs/>
          <w:sz w:val="44"/>
          <w:szCs w:val="44"/>
          <w:lang w:val="en-US" w:eastAsia="zh-CN"/>
        </w:rPr>
      </w:pPr>
      <w:r>
        <w:rPr>
          <w:rFonts w:hint="eastAsia" w:ascii="Times New Roman" w:hAnsi="Times New Roman" w:eastAsia="方正小标宋简体"/>
          <w:bCs/>
          <w:sz w:val="44"/>
          <w:szCs w:val="44"/>
          <w:lang w:val="en-US" w:eastAsia="zh-CN"/>
        </w:rPr>
        <w:t>支持产业高质量发展实施意见的通知</w:t>
      </w:r>
      <w:bookmarkEnd w:id="0"/>
    </w:p>
    <w:p>
      <w:pPr>
        <w:keepNext w:val="0"/>
        <w:keepLines w:val="0"/>
        <w:pageBreakBefore w:val="0"/>
        <w:widowControl w:val="0"/>
        <w:kinsoku/>
        <w:wordWrap/>
        <w:topLinePunct w:val="0"/>
        <w:autoSpaceDE/>
        <w:autoSpaceDN/>
        <w:bidi w:val="0"/>
        <w:adjustRightInd w:val="0"/>
        <w:snapToGrid w:val="0"/>
        <w:spacing w:line="560" w:lineRule="exact"/>
        <w:ind w:firstLine="640" w:firstLineChars="200"/>
        <w:jc w:val="right"/>
        <w:textAlignment w:val="auto"/>
        <w:rPr>
          <w:rFonts w:hint="eastAsia" w:ascii="Times New Roman" w:hAnsi="Times New Roman" w:eastAsia="仿宋_GB2312"/>
          <w:sz w:val="32"/>
          <w:szCs w:val="32"/>
        </w:rPr>
      </w:pPr>
    </w:p>
    <w:p>
      <w:pPr>
        <w:keepNext w:val="0"/>
        <w:keepLines w:val="0"/>
        <w:pageBreakBefore w:val="0"/>
        <w:widowControl w:val="0"/>
        <w:kinsoku/>
        <w:wordWrap/>
        <w:topLinePunct w:val="0"/>
        <w:autoSpaceDE/>
        <w:autoSpaceDN/>
        <w:bidi w:val="0"/>
        <w:adjustRightInd w:val="0"/>
        <w:snapToGrid w:val="0"/>
        <w:spacing w:line="560" w:lineRule="exact"/>
        <w:textAlignment w:val="auto"/>
        <w:rPr>
          <w:rFonts w:hint="eastAsia" w:ascii="Times New Roman" w:hAnsi="Times New Roman" w:eastAsia="仿宋_GB2312"/>
          <w:sz w:val="32"/>
          <w:szCs w:val="32"/>
        </w:rPr>
      </w:pPr>
      <w:bookmarkStart w:id="1" w:name="Zhusong"/>
      <w:r>
        <w:rPr>
          <w:rFonts w:hint="eastAsia" w:ascii="Times New Roman" w:hAnsi="Times New Roman" w:eastAsia="仿宋_GB2312"/>
          <w:sz w:val="32"/>
          <w:szCs w:val="32"/>
          <w:lang w:val="en-US" w:eastAsia="zh-CN"/>
        </w:rPr>
        <w:t>各街镇，各委、办、局，各直属单位</w:t>
      </w:r>
      <w:bookmarkEnd w:id="1"/>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 w:eastAsia="zh-CN"/>
        </w:rPr>
        <w:t>《</w:t>
      </w:r>
      <w:r>
        <w:rPr>
          <w:rFonts w:hint="eastAsia" w:ascii="Times New Roman" w:hAnsi="Times New Roman" w:eastAsia="仿宋_GB2312"/>
          <w:sz w:val="32"/>
          <w:szCs w:val="32"/>
          <w:lang w:val="en-US" w:eastAsia="zh-CN"/>
        </w:rPr>
        <w:t>津南区支持产业高质量发展的实施意见</w:t>
      </w:r>
      <w:r>
        <w:rPr>
          <w:rFonts w:hint="eastAsia" w:ascii="Times New Roman" w:hAnsi="Times New Roman" w:eastAsia="仿宋_GB2312"/>
          <w:sz w:val="32"/>
          <w:szCs w:val="32"/>
          <w:lang w:val="en" w:eastAsia="zh-CN"/>
        </w:rPr>
        <w:t>》已经区人民政府同意，现印发给你们，请照此执行。</w:t>
      </w:r>
    </w:p>
    <w:p>
      <w:pPr>
        <w:keepNext w:val="0"/>
        <w:keepLines w:val="0"/>
        <w:pageBreakBefore w:val="0"/>
        <w:widowControl w:val="0"/>
        <w:kinsoku/>
        <w:wordWrap/>
        <w:topLinePunct w:val="0"/>
        <w:autoSpaceDE/>
        <w:autoSpaceDN/>
        <w:bidi w:val="0"/>
        <w:adjustRightInd w:val="0"/>
        <w:snapToGrid w:val="0"/>
        <w:spacing w:line="560" w:lineRule="exact"/>
        <w:ind w:right="1283" w:rightChars="611" w:firstLine="640" w:firstLineChars="200"/>
        <w:textAlignment w:val="auto"/>
        <w:rPr>
          <w:rFonts w:hint="eastAsia" w:ascii="Times New Roman" w:hAnsi="Times New Roman" w:eastAsia="仿宋_GB2312"/>
          <w:sz w:val="32"/>
          <w:szCs w:val="32"/>
        </w:rPr>
      </w:pPr>
    </w:p>
    <w:p>
      <w:pPr>
        <w:keepNext w:val="0"/>
        <w:keepLines w:val="0"/>
        <w:pageBreakBefore w:val="0"/>
        <w:widowControl w:val="0"/>
        <w:kinsoku/>
        <w:wordWrap/>
        <w:topLinePunct w:val="0"/>
        <w:autoSpaceDE/>
        <w:autoSpaceDN/>
        <w:bidi w:val="0"/>
        <w:adjustRightInd w:val="0"/>
        <w:snapToGrid w:val="0"/>
        <w:spacing w:line="560" w:lineRule="exact"/>
        <w:ind w:right="1283" w:rightChars="611" w:firstLine="640" w:firstLineChars="200"/>
        <w:textAlignment w:val="auto"/>
        <w:rPr>
          <w:rFonts w:hint="eastAsia" w:ascii="Times New Roman" w:hAnsi="Times New Roman" w:eastAsia="仿宋_GB2312"/>
          <w:sz w:val="32"/>
          <w:szCs w:val="32"/>
        </w:rPr>
      </w:pPr>
    </w:p>
    <w:p>
      <w:pPr>
        <w:keepNext w:val="0"/>
        <w:keepLines w:val="0"/>
        <w:pageBreakBefore w:val="0"/>
        <w:widowControl w:val="0"/>
        <w:kinsoku/>
        <w:wordWrap/>
        <w:topLinePunct w:val="0"/>
        <w:autoSpaceDE/>
        <w:autoSpaceDN/>
        <w:bidi w:val="0"/>
        <w:adjustRightInd w:val="0"/>
        <w:snapToGrid w:val="0"/>
        <w:spacing w:line="560" w:lineRule="exact"/>
        <w:ind w:right="1283" w:rightChars="611" w:firstLine="640" w:firstLineChars="200"/>
        <w:textAlignment w:val="auto"/>
        <w:rPr>
          <w:rFonts w:hint="eastAsia" w:ascii="Times New Roman" w:hAnsi="Times New Roman" w:eastAsia="仿宋_GB2312"/>
          <w:sz w:val="32"/>
          <w:szCs w:val="32"/>
        </w:rPr>
      </w:pPr>
    </w:p>
    <w:p>
      <w:pPr>
        <w:keepNext w:val="0"/>
        <w:keepLines w:val="0"/>
        <w:pageBreakBefore w:val="0"/>
        <w:widowControl w:val="0"/>
        <w:kinsoku/>
        <w:wordWrap/>
        <w:topLinePunct w:val="0"/>
        <w:autoSpaceDE/>
        <w:autoSpaceDN/>
        <w:bidi w:val="0"/>
        <w:adjustRightInd w:val="0"/>
        <w:snapToGrid w:val="0"/>
        <w:spacing w:line="560" w:lineRule="exact"/>
        <w:ind w:right="1283" w:rightChars="611" w:firstLine="640" w:firstLineChars="200"/>
        <w:jc w:val="right"/>
        <w:textAlignment w:val="auto"/>
        <w:rPr>
          <w:rFonts w:hint="eastAsia" w:ascii="Times New Roman" w:hAnsi="Times New Roman" w:eastAsia="仿宋_GB2312"/>
          <w:sz w:val="32"/>
          <w:szCs w:val="32"/>
        </w:rPr>
      </w:pPr>
    </w:p>
    <w:p>
      <w:pPr>
        <w:keepNext w:val="0"/>
        <w:keepLines w:val="0"/>
        <w:pageBreakBefore w:val="0"/>
        <w:widowControl w:val="0"/>
        <w:kinsoku/>
        <w:wordWrap/>
        <w:topLinePunct w:val="0"/>
        <w:autoSpaceDE/>
        <w:autoSpaceDN/>
        <w:bidi w:val="0"/>
        <w:adjustRightInd w:val="0"/>
        <w:snapToGrid w:val="0"/>
        <w:spacing w:line="560" w:lineRule="exact"/>
        <w:ind w:right="1283" w:rightChars="611" w:firstLine="640" w:firstLineChars="200"/>
        <w:jc w:val="right"/>
        <w:textAlignment w:val="auto"/>
        <w:rPr>
          <w:rFonts w:ascii="Times New Roman" w:hAnsi="Times New Roman" w:eastAsia="仿宋_GB2312"/>
          <w:sz w:val="32"/>
          <w:szCs w:val="32"/>
        </w:rPr>
      </w:pPr>
      <w:r>
        <w:rPr>
          <w:rFonts w:ascii="Times New Roman" w:hAnsi="Times New Roman" w:eastAsia="仿宋_GB2312"/>
          <w:sz w:val="32"/>
          <w:szCs w:val="32"/>
        </w:rPr>
        <w:t>20</w:t>
      </w:r>
      <w:r>
        <w:rPr>
          <w:rFonts w:hint="default" w:ascii="Times New Roman" w:hAnsi="Times New Roman" w:eastAsia="仿宋_GB2312"/>
          <w:sz w:val="32"/>
          <w:szCs w:val="32"/>
          <w:lang w:val="en" w:eastAsia="zh-CN"/>
        </w:rPr>
        <w:t>26</w:t>
      </w:r>
      <w:r>
        <w:rPr>
          <w:rFonts w:ascii="Times New Roman" w:hAnsi="Times New Roman" w:eastAsia="仿宋_GB2312"/>
          <w:sz w:val="32"/>
          <w:szCs w:val="32"/>
        </w:rPr>
        <w:t>年</w:t>
      </w:r>
      <w:r>
        <w:rPr>
          <w:rFonts w:hint="default" w:ascii="Times New Roman" w:hAnsi="Times New Roman" w:eastAsia="仿宋_GB2312"/>
          <w:sz w:val="32"/>
          <w:szCs w:val="32"/>
          <w:lang w:val="en"/>
        </w:rPr>
        <w:t>3</w:t>
      </w:r>
      <w:r>
        <w:rPr>
          <w:rFonts w:ascii="Times New Roman" w:hAnsi="Times New Roman" w:eastAsia="仿宋_GB2312"/>
          <w:sz w:val="32"/>
          <w:szCs w:val="32"/>
        </w:rPr>
        <w:t>月</w:t>
      </w:r>
      <w:r>
        <w:rPr>
          <w:rFonts w:hint="eastAsia" w:eastAsia="仿宋_GB2312"/>
          <w:sz w:val="32"/>
          <w:szCs w:val="32"/>
          <w:lang w:val="en-US" w:eastAsia="zh-CN"/>
        </w:rPr>
        <w:t>31</w:t>
      </w:r>
      <w:r>
        <w:rPr>
          <w:rFonts w:ascii="Times New Roman" w:hAnsi="Times New Roman"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sz w:val="44"/>
          <w:szCs w:val="44"/>
          <w:lang w:val="en-US" w:eastAsia="zh-CN"/>
        </w:rPr>
      </w:pPr>
      <w:bookmarkStart w:id="2" w:name="xxgk"/>
      <w:r>
        <w:rPr>
          <w:rFonts w:hint="eastAsia" w:ascii="Times New Roman" w:hAnsi="Times New Roman" w:eastAsia="仿宋_GB2312"/>
          <w:sz w:val="32"/>
          <w:szCs w:val="32"/>
          <w:lang w:val="en" w:eastAsia="zh-CN"/>
        </w:rPr>
        <w:t>（此件</w:t>
      </w:r>
      <w:r>
        <w:rPr>
          <w:rFonts w:hint="eastAsia" w:ascii="Times New Roman" w:hAnsi="Times New Roman" w:eastAsia="仿宋_GB2312"/>
          <w:sz w:val="32"/>
          <w:szCs w:val="32"/>
          <w:lang w:val="en-US" w:eastAsia="zh-CN"/>
        </w:rPr>
        <w:t>主动公开</w:t>
      </w:r>
      <w:bookmarkEnd w:id="2"/>
      <w:r>
        <w:rPr>
          <w:rFonts w:hint="eastAsia" w:ascii="Times New Roman" w:hAnsi="Times New Roman" w:eastAsia="仿宋_GB2312"/>
          <w:sz w:val="32"/>
          <w:szCs w:val="32"/>
          <w:lang w:val="en" w:eastAsia="zh-CN"/>
        </w:rPr>
        <w:t>）</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简体" w:cs="Times New Roman"/>
          <w:sz w:val="44"/>
          <w:szCs w:val="44"/>
          <w:highlight w:val="none"/>
          <w:lang w:eastAsia="zh-CN"/>
        </w:rPr>
      </w:pPr>
      <w:r>
        <w:rPr>
          <w:rFonts w:hint="default" w:ascii="Times New Roman" w:hAnsi="Times New Roman" w:eastAsia="方正小标宋简体" w:cs="Times New Roman"/>
          <w:sz w:val="44"/>
          <w:szCs w:val="44"/>
          <w:highlight w:val="none"/>
          <w:lang w:eastAsia="zh-CN"/>
        </w:rPr>
        <w:t>津南区支持产业高质量发展的实施意见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sz w:val="32"/>
          <w:szCs w:val="32"/>
          <w:highlight w:val="none"/>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为深入学习贯彻党的二十大和二十届历次全会精神，完整、准确、全面贯彻新发展理念，积极服务和融入构建新发展格局，深度落实高质量发展“十项行动”，充分发挥“三张好牌”独特优势，精准运用“三个融合”具体打法，统筹做好“三新”“三量”重点工作，紧紧围绕“四区”“四谷”功能定位，锚定全力打造科创会展城和天津重要增长极目标愿景，立足“345”产业链，因地制宜发展新质生产力，加速构建现代化产业体系，根据《天津市人民政府关于印发天津市推动科技创新和产业创新深度融合工作方案（2025—2027年）的通知》（津政发〔2025〕9号）、《天津市人民政府办公厅关于加快引进培养用好人才服务新质生产力发展若干措施的通知》（津政办规〔2025〕2号）等文件精神，结合本区实际，制定如下实施意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一、锚定产业提升加快结构调整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（一）支持传统产业智能化绿色化融合化转型。</w:t>
      </w:r>
      <w:r>
        <w:rPr>
          <w:rFonts w:hint="eastAsia" w:ascii="Times New Roman" w:hAnsi="Times New Roman" w:eastAsia="仿宋_GB2312" w:cs="仿宋_GB2312"/>
          <w:sz w:val="32"/>
          <w:szCs w:val="32"/>
          <w:lang w:val="en-US" w:eastAsia="zh-CN"/>
        </w:rPr>
        <w:t>做优</w:t>
      </w:r>
      <w:r>
        <w:rPr>
          <w:rFonts w:hint="eastAsia" w:ascii="Times New Roman" w:hAnsi="Times New Roman" w:eastAsia="仿宋_GB2312" w:cs="仿宋_GB2312"/>
          <w:sz w:val="32"/>
          <w:szCs w:val="32"/>
          <w:lang w:eastAsia="zh-CN"/>
        </w:rPr>
        <w:t>小站稻、</w:t>
      </w:r>
      <w:r>
        <w:rPr>
          <w:rFonts w:hint="eastAsia" w:ascii="Times New Roman" w:hAnsi="Times New Roman" w:eastAsia="仿宋_GB2312" w:cs="仿宋_GB2312"/>
          <w:sz w:val="32"/>
          <w:szCs w:val="32"/>
          <w:lang w:val="en-US" w:eastAsia="zh-CN"/>
        </w:rPr>
        <w:t>现代</w:t>
      </w:r>
      <w:r>
        <w:rPr>
          <w:rFonts w:hint="eastAsia" w:ascii="Times New Roman" w:hAnsi="Times New Roman" w:eastAsia="仿宋_GB2312" w:cs="仿宋_GB2312"/>
          <w:sz w:val="32"/>
          <w:szCs w:val="32"/>
          <w:lang w:eastAsia="zh-CN"/>
        </w:rPr>
        <w:t>种业</w:t>
      </w:r>
      <w:r>
        <w:rPr>
          <w:rFonts w:hint="eastAsia" w:ascii="Times New Roman" w:hAnsi="Times New Roman" w:eastAsia="仿宋_GB2312" w:cs="仿宋_GB2312"/>
          <w:sz w:val="32"/>
          <w:szCs w:val="32"/>
          <w:lang w:val="en-US" w:eastAsia="zh-CN"/>
        </w:rPr>
        <w:t>和</w:t>
      </w:r>
      <w:r>
        <w:rPr>
          <w:rFonts w:hint="eastAsia" w:ascii="Times New Roman" w:hAnsi="Times New Roman" w:eastAsia="仿宋_GB2312" w:cs="仿宋_GB2312"/>
          <w:sz w:val="32"/>
          <w:szCs w:val="32"/>
          <w:lang w:eastAsia="zh-CN"/>
        </w:rPr>
        <w:t>设施农业，培育功能农业、</w:t>
      </w:r>
      <w:r>
        <w:rPr>
          <w:rFonts w:hint="eastAsia" w:ascii="Times New Roman" w:hAnsi="Times New Roman" w:eastAsia="仿宋_GB2312" w:cs="仿宋_GB2312"/>
          <w:sz w:val="32"/>
          <w:szCs w:val="32"/>
          <w:lang w:val="en-US" w:eastAsia="zh-CN"/>
        </w:rPr>
        <w:t>智慧农业</w:t>
      </w:r>
      <w:r>
        <w:rPr>
          <w:rFonts w:hint="eastAsia" w:ascii="Times New Roman" w:hAnsi="Times New Roman" w:eastAsia="仿宋_GB2312" w:cs="仿宋_GB2312"/>
          <w:sz w:val="32"/>
          <w:szCs w:val="32"/>
          <w:lang w:eastAsia="zh-CN"/>
        </w:rPr>
        <w:t>、育种创新等农业新质生产力</w:t>
      </w:r>
      <w:r>
        <w:rPr>
          <w:rFonts w:hint="eastAsia" w:ascii="Times New Roman" w:hAnsi="Times New Roman" w:eastAsia="仿宋_GB2312" w:cs="仿宋_GB2312"/>
          <w:sz w:val="32"/>
          <w:szCs w:val="32"/>
          <w:lang w:val="en-US" w:eastAsia="zh-CN"/>
        </w:rPr>
        <w:t>，健全“绿屏”等生态产品的开发运营模式，</w:t>
      </w:r>
      <w:r>
        <w:rPr>
          <w:rFonts w:hint="eastAsia" w:ascii="Times New Roman" w:hAnsi="Times New Roman" w:eastAsia="仿宋_GB2312" w:cs="仿宋_GB2312"/>
          <w:sz w:val="32"/>
          <w:szCs w:val="32"/>
          <w:lang w:eastAsia="zh-CN"/>
        </w:rPr>
        <w:t>全面落实各级</w:t>
      </w:r>
      <w:r>
        <w:rPr>
          <w:rFonts w:hint="eastAsia" w:ascii="Times New Roman" w:hAnsi="Times New Roman" w:eastAsia="仿宋_GB2312" w:cs="仿宋_GB2312"/>
          <w:sz w:val="32"/>
          <w:szCs w:val="32"/>
          <w:lang w:val="en-US" w:eastAsia="zh-CN"/>
        </w:rPr>
        <w:t>惠农</w:t>
      </w:r>
      <w:r>
        <w:rPr>
          <w:rFonts w:hint="eastAsia" w:ascii="Times New Roman" w:hAnsi="Times New Roman" w:eastAsia="仿宋_GB2312" w:cs="仿宋_GB2312"/>
          <w:sz w:val="32"/>
          <w:szCs w:val="32"/>
          <w:lang w:eastAsia="zh-CN"/>
        </w:rPr>
        <w:t>补贴，确保资金精准直达和落地</w:t>
      </w:r>
      <w:r>
        <w:rPr>
          <w:rFonts w:hint="eastAsia" w:ascii="Times New Roman" w:hAnsi="Times New Roman" w:eastAsia="仿宋_GB2312" w:cs="仿宋_GB2312"/>
          <w:sz w:val="32"/>
          <w:szCs w:val="32"/>
          <w:lang w:val="en-US" w:eastAsia="zh-CN"/>
        </w:rPr>
        <w:t>见效</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充分运用</w:t>
      </w:r>
      <w:r>
        <w:rPr>
          <w:rFonts w:hint="eastAsia" w:ascii="Times New Roman" w:hAnsi="Times New Roman" w:eastAsia="仿宋_GB2312" w:cs="仿宋_GB2312"/>
          <w:sz w:val="32"/>
          <w:szCs w:val="32"/>
          <w:lang w:eastAsia="zh-CN"/>
        </w:rPr>
        <w:t>“两新”政策资金，支持传统制造业企业实施数智赋能、技改绿改和市场化合作项目，加快“三化”改造步伐。发展首发</w:t>
      </w:r>
      <w:r>
        <w:rPr>
          <w:rFonts w:hint="eastAsia" w:ascii="Times New Roman" w:hAnsi="Times New Roman" w:eastAsia="仿宋_GB2312" w:cs="仿宋_GB2312"/>
          <w:sz w:val="32"/>
          <w:szCs w:val="32"/>
          <w:lang w:val="en-US" w:eastAsia="zh-CN"/>
        </w:rPr>
        <w:t>经济</w:t>
      </w:r>
      <w:r>
        <w:rPr>
          <w:rFonts w:hint="eastAsia" w:ascii="Times New Roman" w:hAnsi="Times New Roman" w:eastAsia="仿宋_GB2312" w:cs="仿宋_GB2312"/>
          <w:sz w:val="32"/>
          <w:szCs w:val="32"/>
          <w:lang w:eastAsia="zh-CN"/>
        </w:rPr>
        <w:t>、首店</w:t>
      </w:r>
      <w:r>
        <w:rPr>
          <w:rFonts w:hint="eastAsia" w:ascii="Times New Roman" w:hAnsi="Times New Roman" w:eastAsia="仿宋_GB2312" w:cs="仿宋_GB2312"/>
          <w:sz w:val="32"/>
          <w:szCs w:val="32"/>
          <w:lang w:val="en-US" w:eastAsia="zh-CN"/>
        </w:rPr>
        <w:t>经济</w:t>
      </w:r>
      <w:r>
        <w:rPr>
          <w:rFonts w:hint="eastAsia" w:ascii="Times New Roman" w:hAnsi="Times New Roman" w:eastAsia="仿宋_GB2312" w:cs="仿宋_GB2312"/>
          <w:sz w:val="32"/>
          <w:szCs w:val="32"/>
          <w:lang w:eastAsia="zh-CN"/>
        </w:rPr>
        <w:t>、银发</w:t>
      </w:r>
      <w:r>
        <w:rPr>
          <w:rFonts w:hint="eastAsia" w:ascii="Times New Roman" w:hAnsi="Times New Roman" w:eastAsia="仿宋_GB2312" w:cs="仿宋_GB2312"/>
          <w:sz w:val="32"/>
          <w:szCs w:val="32"/>
          <w:lang w:val="en-US" w:eastAsia="zh-CN"/>
        </w:rPr>
        <w:t>经济</w:t>
      </w:r>
      <w:r>
        <w:rPr>
          <w:rFonts w:hint="eastAsia" w:ascii="Times New Roman" w:hAnsi="Times New Roman" w:eastAsia="仿宋_GB2312" w:cs="仿宋_GB2312"/>
          <w:sz w:val="32"/>
          <w:szCs w:val="32"/>
          <w:lang w:eastAsia="zh-CN"/>
        </w:rPr>
        <w:t>、冰雪经济等新业态</w:t>
      </w:r>
      <w:r>
        <w:rPr>
          <w:rFonts w:hint="eastAsia" w:ascii="Times New Roman" w:hAnsi="Times New Roman" w:eastAsia="仿宋_GB2312" w:cs="仿宋_GB2312"/>
          <w:sz w:val="32"/>
          <w:szCs w:val="32"/>
          <w:lang w:val="en-US" w:eastAsia="zh-CN"/>
        </w:rPr>
        <w:t>，培育壮大科技服务、会展服务、人力资源服务、文旅康养、数据服务等生产性和生活性服务业，发放产业消费券，不断激发市场内生动力和创新活力</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b/>
          <w:bCs/>
          <w:sz w:val="32"/>
          <w:szCs w:val="32"/>
          <w:lang w:eastAsia="zh-CN"/>
        </w:rPr>
        <w:t>（责任单位：区农业农村委、区工</w:t>
      </w:r>
      <w:r>
        <w:rPr>
          <w:rFonts w:hint="eastAsia" w:eastAsia="仿宋_GB2312" w:cs="仿宋_GB2312"/>
          <w:b/>
          <w:bCs/>
          <w:sz w:val="32"/>
          <w:szCs w:val="32"/>
          <w:lang w:eastAsia="zh-CN"/>
        </w:rPr>
        <w:t>业和信息化</w:t>
      </w:r>
      <w:r>
        <w:rPr>
          <w:rFonts w:hint="eastAsia" w:ascii="Times New Roman" w:hAnsi="Times New Roman" w:eastAsia="仿宋_GB2312" w:cs="仿宋_GB2312"/>
          <w:b/>
          <w:bCs/>
          <w:sz w:val="32"/>
          <w:szCs w:val="32"/>
          <w:lang w:eastAsia="zh-CN"/>
        </w:rPr>
        <w:t>局、区商务局、区发</w:t>
      </w:r>
      <w:r>
        <w:rPr>
          <w:rFonts w:hint="eastAsia" w:eastAsia="仿宋_GB2312" w:cs="仿宋_GB2312"/>
          <w:b/>
          <w:bCs/>
          <w:sz w:val="32"/>
          <w:szCs w:val="32"/>
          <w:lang w:eastAsia="zh-CN"/>
        </w:rPr>
        <w:t>展</w:t>
      </w:r>
      <w:r>
        <w:rPr>
          <w:rFonts w:hint="eastAsia" w:ascii="Times New Roman" w:hAnsi="Times New Roman" w:eastAsia="仿宋_GB2312" w:cs="仿宋_GB2312"/>
          <w:b/>
          <w:bCs/>
          <w:sz w:val="32"/>
          <w:szCs w:val="32"/>
          <w:lang w:eastAsia="zh-CN"/>
        </w:rPr>
        <w:t>改</w:t>
      </w:r>
      <w:r>
        <w:rPr>
          <w:rFonts w:hint="eastAsia" w:eastAsia="仿宋_GB2312" w:cs="仿宋_GB2312"/>
          <w:b/>
          <w:bCs/>
          <w:sz w:val="32"/>
          <w:szCs w:val="32"/>
          <w:lang w:eastAsia="zh-CN"/>
        </w:rPr>
        <w:t>革</w:t>
      </w:r>
      <w:r>
        <w:rPr>
          <w:rFonts w:hint="eastAsia" w:ascii="Times New Roman" w:hAnsi="Times New Roman" w:eastAsia="仿宋_GB2312" w:cs="仿宋_GB2312"/>
          <w:b/>
          <w:bCs/>
          <w:sz w:val="32"/>
          <w:szCs w:val="32"/>
          <w:lang w:eastAsia="zh-CN"/>
        </w:rPr>
        <w:t>委、区科技局、区人社局、区文</w:t>
      </w:r>
      <w:r>
        <w:rPr>
          <w:rFonts w:hint="eastAsia" w:eastAsia="仿宋_GB2312" w:cs="仿宋_GB2312"/>
          <w:b/>
          <w:bCs/>
          <w:sz w:val="32"/>
          <w:szCs w:val="32"/>
          <w:lang w:eastAsia="zh-CN"/>
        </w:rPr>
        <w:t>化和旅游</w:t>
      </w:r>
      <w:r>
        <w:rPr>
          <w:rFonts w:hint="eastAsia" w:ascii="Times New Roman" w:hAnsi="Times New Roman" w:eastAsia="仿宋_GB2312" w:cs="仿宋_GB2312"/>
          <w:b/>
          <w:bCs/>
          <w:sz w:val="32"/>
          <w:szCs w:val="32"/>
          <w:lang w:eastAsia="zh-CN"/>
        </w:rPr>
        <w:t>局、区民政局、会展经济区管委会等）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（二）打造高水平优势战略性新兴产业集群。</w:t>
      </w:r>
      <w:r>
        <w:rPr>
          <w:rFonts w:hint="eastAsia" w:ascii="Times New Roman" w:hAnsi="Times New Roman" w:eastAsia="仿宋_GB2312" w:cs="仿宋_GB2312"/>
          <w:sz w:val="32"/>
          <w:szCs w:val="32"/>
          <w:lang w:eastAsia="zh-CN"/>
        </w:rPr>
        <w:t>大力发展以新一代电子信息技术、新能源新材料、高端装备制造、生物产业为代表的工业战略性新兴产业。引进和培育高能级“链主”企业及产业链上下游项目，提升主题园区承载能力和服务水平，鼓励关联企业和项目集聚，形成集群化、集约化发展格局。围绕产业链关键共性技术瓶颈和升级需求，高效配置要素资源，以突破性创新带动产业升级。支持市场主导组建创新联合体，强链补链延链升链，促进大中小企业融通创新、协同发展，构建富有韧性和竞争力的产业生态。</w:t>
      </w:r>
      <w:r>
        <w:rPr>
          <w:rFonts w:hint="eastAsia" w:ascii="Times New Roman" w:hAnsi="Times New Roman" w:eastAsia="仿宋_GB2312" w:cs="仿宋_GB2312"/>
          <w:b/>
          <w:bCs/>
          <w:sz w:val="32"/>
          <w:szCs w:val="32"/>
          <w:lang w:eastAsia="zh-CN"/>
        </w:rPr>
        <w:t>（责任单位：区工</w:t>
      </w:r>
      <w:r>
        <w:rPr>
          <w:rFonts w:hint="eastAsia" w:eastAsia="仿宋_GB2312" w:cs="仿宋_GB2312"/>
          <w:b/>
          <w:bCs/>
          <w:sz w:val="32"/>
          <w:szCs w:val="32"/>
          <w:lang w:eastAsia="zh-CN"/>
        </w:rPr>
        <w:t>业和信息化</w:t>
      </w:r>
      <w:r>
        <w:rPr>
          <w:rFonts w:hint="eastAsia" w:ascii="Times New Roman" w:hAnsi="Times New Roman" w:eastAsia="仿宋_GB2312" w:cs="仿宋_GB2312"/>
          <w:b/>
          <w:bCs/>
          <w:sz w:val="32"/>
          <w:szCs w:val="32"/>
          <w:lang w:eastAsia="zh-CN"/>
        </w:rPr>
        <w:t>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（三）聚焦“人工智能</w:t>
      </w:r>
      <w:r>
        <w:rPr>
          <w:rFonts w:hint="eastAsia" w:ascii="Times New Roman" w:hAnsi="Times New Roman" w:eastAsia="楷体_GB2312" w:cs="楷体_GB2312"/>
          <w:sz w:val="32"/>
          <w:szCs w:val="32"/>
          <w:lang w:val="en-US" w:eastAsia="zh-CN"/>
        </w:rPr>
        <w:t>+</w:t>
      </w:r>
      <w:r>
        <w:rPr>
          <w:rFonts w:hint="eastAsia" w:ascii="Times New Roman" w:hAnsi="Times New Roman" w:eastAsia="楷体_GB2312" w:cs="楷体_GB2312"/>
          <w:sz w:val="32"/>
          <w:szCs w:val="32"/>
          <w:lang w:eastAsia="zh-CN"/>
        </w:rPr>
        <w:t>”培育未来产业新增长点。</w:t>
      </w:r>
      <w:r>
        <w:rPr>
          <w:rFonts w:hint="eastAsia" w:ascii="Times New Roman" w:hAnsi="Times New Roman" w:eastAsia="仿宋_GB2312" w:cs="仿宋_GB2312"/>
          <w:sz w:val="32"/>
          <w:szCs w:val="32"/>
          <w:lang w:eastAsia="zh-CN"/>
        </w:rPr>
        <w:t>引育国内外领先的大模型、脑机接口、具身智能、合成生物等领域的优质企业，前瞻布局前沿与颠覆性技术。支持企业聚焦数据、算力、标注、算法、安全等关键环节开展核心技术攻关，加强引导扶持。深化“数据要素</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lang w:eastAsia="zh-CN"/>
        </w:rPr>
        <w:t>”与“人工智能</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lang w:eastAsia="zh-CN"/>
        </w:rPr>
        <w:t>”行动计划，搭建“握手通道”，助力人工智能在现代服务业、数字商贸、交通运输、会展、医疗、政务服务、城市治理等垂直行业形成示范应用。建设津南区人工智能公共算力平台，发放“数据券”，实施“以投带引”，降低企业研发与创新门槛，吸引产业链上下游企业集聚。</w:t>
      </w:r>
      <w:r>
        <w:rPr>
          <w:rFonts w:hint="eastAsia" w:ascii="Times New Roman" w:hAnsi="Times New Roman" w:eastAsia="仿宋_GB2312" w:cs="仿宋_GB2312"/>
          <w:b/>
          <w:bCs/>
          <w:sz w:val="32"/>
          <w:szCs w:val="32"/>
          <w:lang w:eastAsia="zh-CN"/>
        </w:rPr>
        <w:t>（责任单位：区科技局、区发</w:t>
      </w:r>
      <w:r>
        <w:rPr>
          <w:rFonts w:hint="eastAsia" w:eastAsia="仿宋_GB2312" w:cs="仿宋_GB2312"/>
          <w:b/>
          <w:bCs/>
          <w:sz w:val="32"/>
          <w:szCs w:val="32"/>
          <w:lang w:eastAsia="zh-CN"/>
        </w:rPr>
        <w:t>展</w:t>
      </w:r>
      <w:r>
        <w:rPr>
          <w:rFonts w:hint="eastAsia" w:ascii="Times New Roman" w:hAnsi="Times New Roman" w:eastAsia="仿宋_GB2312" w:cs="仿宋_GB2312"/>
          <w:b/>
          <w:bCs/>
          <w:sz w:val="32"/>
          <w:szCs w:val="32"/>
          <w:lang w:eastAsia="zh-CN"/>
        </w:rPr>
        <w:t>改</w:t>
      </w:r>
      <w:r>
        <w:rPr>
          <w:rFonts w:hint="eastAsia" w:eastAsia="仿宋_GB2312" w:cs="仿宋_GB2312"/>
          <w:b/>
          <w:bCs/>
          <w:sz w:val="32"/>
          <w:szCs w:val="32"/>
          <w:lang w:eastAsia="zh-CN"/>
        </w:rPr>
        <w:t>革</w:t>
      </w:r>
      <w:r>
        <w:rPr>
          <w:rFonts w:hint="eastAsia" w:ascii="Times New Roman" w:hAnsi="Times New Roman" w:eastAsia="仿宋_GB2312" w:cs="仿宋_GB2312"/>
          <w:b/>
          <w:bCs/>
          <w:sz w:val="32"/>
          <w:szCs w:val="32"/>
          <w:lang w:eastAsia="zh-CN"/>
        </w:rPr>
        <w:t>委、区工</w:t>
      </w:r>
      <w:r>
        <w:rPr>
          <w:rFonts w:hint="eastAsia" w:eastAsia="仿宋_GB2312" w:cs="仿宋_GB2312"/>
          <w:b/>
          <w:bCs/>
          <w:sz w:val="32"/>
          <w:szCs w:val="32"/>
          <w:lang w:eastAsia="zh-CN"/>
        </w:rPr>
        <w:t>业和信息化</w:t>
      </w:r>
      <w:r>
        <w:rPr>
          <w:rFonts w:hint="eastAsia" w:ascii="Times New Roman" w:hAnsi="Times New Roman" w:eastAsia="仿宋_GB2312" w:cs="仿宋_GB2312"/>
          <w:b/>
          <w:bCs/>
          <w:sz w:val="32"/>
          <w:szCs w:val="32"/>
          <w:lang w:eastAsia="zh-CN"/>
        </w:rPr>
        <w:t>局等）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二、聚焦科技创新实现源头突破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（四）高标准建设天南大科创走廊。</w:t>
      </w:r>
      <w:r>
        <w:rPr>
          <w:rFonts w:hint="eastAsia" w:ascii="Times New Roman" w:hAnsi="Times New Roman" w:eastAsia="仿宋_GB2312" w:cs="仿宋_GB2312"/>
          <w:sz w:val="32"/>
          <w:szCs w:val="32"/>
          <w:lang w:eastAsia="zh-CN"/>
        </w:rPr>
        <w:t>高标准实施天开津南园北部片区城市更新，提升“一园五片区多节点”运营质效，建强天开中关村新质生产力创新中心，布局空间开放、功能多元、产城融合的新型产业社区和科创走廊，为高校院所成果转化及创新创业提供场所。支持高校院所在津南布局建设跨学科交叉的新型研发机构，围绕人工智能、合成生物、新能源、先进材料等前沿领域开展任务导向型技术攻关，培育特色赛道。支持科研人员职务成果在津南区实施转化，根据其技术先进性、产业带动性、市场前景等指标进行综合评价，对评价优秀的项目及完成人给予扶持。探索实施“先研后股”机制，对高校院所具有明确产业化前景的早期科技成果，引导撬动各类资本先行支持其概念验证及技术开发，项目达到约定条件后，资金可转为股权投资，加速项目产业化进程。</w:t>
      </w:r>
      <w:r>
        <w:rPr>
          <w:rFonts w:hint="eastAsia" w:ascii="Times New Roman" w:hAnsi="Times New Roman" w:eastAsia="仿宋_GB2312" w:cs="仿宋_GB2312"/>
          <w:b/>
          <w:bCs/>
          <w:sz w:val="32"/>
          <w:szCs w:val="32"/>
          <w:lang w:eastAsia="zh-CN"/>
        </w:rPr>
        <w:t>（责任单位：海</w:t>
      </w:r>
      <w:r>
        <w:rPr>
          <w:rFonts w:hint="eastAsia" w:eastAsia="仿宋_GB2312" w:cs="仿宋_GB2312"/>
          <w:b/>
          <w:bCs/>
          <w:sz w:val="32"/>
          <w:szCs w:val="32"/>
          <w:lang w:eastAsia="zh-CN"/>
        </w:rPr>
        <w:t>河</w:t>
      </w:r>
      <w:r>
        <w:rPr>
          <w:rFonts w:hint="eastAsia" w:ascii="Times New Roman" w:hAnsi="Times New Roman" w:eastAsia="仿宋_GB2312" w:cs="仿宋_GB2312"/>
          <w:b/>
          <w:bCs/>
          <w:sz w:val="32"/>
          <w:szCs w:val="32"/>
          <w:lang w:eastAsia="zh-CN"/>
        </w:rPr>
        <w:t>教</w:t>
      </w:r>
      <w:r>
        <w:rPr>
          <w:rFonts w:hint="eastAsia" w:eastAsia="仿宋_GB2312" w:cs="仿宋_GB2312"/>
          <w:b/>
          <w:bCs/>
          <w:sz w:val="32"/>
          <w:szCs w:val="32"/>
          <w:lang w:eastAsia="zh-CN"/>
        </w:rPr>
        <w:t>育</w:t>
      </w:r>
      <w:r>
        <w:rPr>
          <w:rFonts w:hint="eastAsia" w:ascii="Times New Roman" w:hAnsi="Times New Roman" w:eastAsia="仿宋_GB2312" w:cs="仿宋_GB2312"/>
          <w:b/>
          <w:bCs/>
          <w:sz w:val="32"/>
          <w:szCs w:val="32"/>
          <w:lang w:eastAsia="zh-CN"/>
        </w:rPr>
        <w:t>园</w:t>
      </w:r>
      <w:r>
        <w:rPr>
          <w:rFonts w:hint="eastAsia" w:eastAsia="仿宋_GB2312" w:cs="仿宋_GB2312"/>
          <w:b/>
          <w:bCs/>
          <w:sz w:val="32"/>
          <w:szCs w:val="32"/>
          <w:lang w:eastAsia="zh-CN"/>
        </w:rPr>
        <w:t>区</w:t>
      </w:r>
      <w:r>
        <w:rPr>
          <w:rFonts w:hint="eastAsia" w:ascii="Times New Roman" w:hAnsi="Times New Roman" w:eastAsia="仿宋_GB2312" w:cs="仿宋_GB2312"/>
          <w:b/>
          <w:bCs/>
          <w:sz w:val="32"/>
          <w:szCs w:val="32"/>
          <w:lang w:eastAsia="zh-CN"/>
        </w:rPr>
        <w:t>管委会、区科技局、区财政局、津南国投</w:t>
      </w:r>
      <w:r>
        <w:rPr>
          <w:rFonts w:hint="eastAsia" w:eastAsia="仿宋_GB2312" w:cs="仿宋_GB2312"/>
          <w:b/>
          <w:bCs/>
          <w:sz w:val="32"/>
          <w:szCs w:val="32"/>
          <w:lang w:eastAsia="zh-CN"/>
        </w:rPr>
        <w:t>集团</w:t>
      </w:r>
      <w:r>
        <w:rPr>
          <w:rFonts w:hint="eastAsia" w:ascii="Times New Roman" w:hAnsi="Times New Roman" w:eastAsia="仿宋_GB2312" w:cs="仿宋_GB2312"/>
          <w:b/>
          <w:bCs/>
          <w:sz w:val="32"/>
          <w:szCs w:val="32"/>
          <w:lang w:eastAsia="zh-CN"/>
        </w:rPr>
        <w:t>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val="en-US" w:eastAsia="zh-CN"/>
        </w:rPr>
      </w:pPr>
      <w:r>
        <w:rPr>
          <w:rFonts w:hint="eastAsia" w:ascii="Times New Roman" w:hAnsi="Times New Roman" w:eastAsia="楷体_GB2312" w:cs="楷体_GB2312"/>
          <w:sz w:val="32"/>
          <w:szCs w:val="32"/>
          <w:lang w:eastAsia="zh-CN"/>
        </w:rPr>
        <w:t>（五）搭建功能新要素创新驱动平台。</w:t>
      </w:r>
      <w:r>
        <w:rPr>
          <w:rFonts w:hint="eastAsia" w:ascii="Times New Roman" w:hAnsi="Times New Roman" w:eastAsia="仿宋_GB2312" w:cs="仿宋_GB2312"/>
          <w:sz w:val="32"/>
          <w:szCs w:val="32"/>
          <w:lang w:eastAsia="zh-CN"/>
        </w:rPr>
        <w:t>支持建设覆盖概念验证、小试中试、技术熟化到产业化全链条的公共服务平台，构建开放共享、功能集成的科技服务生态。推广专业技术经理人模式，为企业提供涵盖技术评估、市场分析、商业策划及知识产权运营的全流程专业服务。鼓励发展“产业医院”，开展科技问诊，定制化破解企业技术与管理难题。探索建立以成果转化和服务企业实效为核心的功能要素平台评价机制，引导其持续优化运营模式、集聚高端资源、提升服务能级、赋能产业发展。</w:t>
      </w:r>
      <w:r>
        <w:rPr>
          <w:rFonts w:hint="eastAsia" w:ascii="Times New Roman" w:hAnsi="Times New Roman" w:eastAsia="仿宋_GB2312" w:cs="仿宋_GB2312"/>
          <w:b/>
          <w:bCs/>
          <w:sz w:val="32"/>
          <w:szCs w:val="32"/>
          <w:lang w:eastAsia="zh-CN"/>
        </w:rPr>
        <w:t>（责任单位：区科技局</w:t>
      </w:r>
      <w:r>
        <w:rPr>
          <w:rFonts w:hint="eastAsia" w:ascii="Times New Roman" w:hAnsi="Times New Roman" w:eastAsia="仿宋_GB2312" w:cs="仿宋_GB2312"/>
          <w:b/>
          <w:bCs/>
          <w:sz w:val="32"/>
          <w:szCs w:val="32"/>
          <w:lang w:val="en-US" w:eastAsia="zh-CN"/>
        </w:rPr>
        <w:t>、海</w:t>
      </w:r>
      <w:r>
        <w:rPr>
          <w:rFonts w:hint="eastAsia" w:eastAsia="仿宋_GB2312" w:cs="仿宋_GB2312"/>
          <w:b/>
          <w:bCs/>
          <w:sz w:val="32"/>
          <w:szCs w:val="32"/>
          <w:lang w:val="en-US" w:eastAsia="zh-CN"/>
        </w:rPr>
        <w:t>河教育</w:t>
      </w:r>
      <w:r>
        <w:rPr>
          <w:rFonts w:hint="eastAsia" w:ascii="Times New Roman" w:hAnsi="Times New Roman" w:eastAsia="仿宋_GB2312" w:cs="仿宋_GB2312"/>
          <w:b/>
          <w:bCs/>
          <w:sz w:val="32"/>
          <w:szCs w:val="32"/>
          <w:lang w:val="en-US" w:eastAsia="zh-CN"/>
        </w:rPr>
        <w:t>园</w:t>
      </w:r>
      <w:r>
        <w:rPr>
          <w:rFonts w:hint="eastAsia" w:eastAsia="仿宋_GB2312" w:cs="仿宋_GB2312"/>
          <w:b/>
          <w:bCs/>
          <w:sz w:val="32"/>
          <w:szCs w:val="32"/>
          <w:lang w:val="en-US" w:eastAsia="zh-CN"/>
        </w:rPr>
        <w:t>区</w:t>
      </w:r>
      <w:r>
        <w:rPr>
          <w:rFonts w:hint="eastAsia" w:ascii="Times New Roman" w:hAnsi="Times New Roman" w:eastAsia="仿宋_GB2312" w:cs="仿宋_GB2312"/>
          <w:b/>
          <w:bCs/>
          <w:sz w:val="32"/>
          <w:szCs w:val="32"/>
          <w:lang w:val="en-US" w:eastAsia="zh-CN"/>
        </w:rPr>
        <w:t>管委会等</w:t>
      </w:r>
      <w:r>
        <w:rPr>
          <w:rFonts w:hint="eastAsia" w:ascii="Times New Roman" w:hAnsi="Times New Roman" w:eastAsia="仿宋_GB2312" w:cs="仿宋_GB2312"/>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（六）推动科技创新和产业创新深度融合。</w:t>
      </w:r>
      <w:r>
        <w:rPr>
          <w:rFonts w:hint="eastAsia" w:ascii="Times New Roman" w:hAnsi="Times New Roman" w:eastAsia="仿宋_GB2312" w:cs="仿宋_GB2312"/>
          <w:sz w:val="32"/>
          <w:szCs w:val="32"/>
          <w:lang w:eastAsia="zh-CN"/>
        </w:rPr>
        <w:t>围绕重点产业发展，</w:t>
      </w:r>
      <w:r>
        <w:rPr>
          <w:rFonts w:hint="eastAsia" w:ascii="Times New Roman" w:hAnsi="Times New Roman" w:eastAsia="仿宋_GB2312" w:cs="仿宋_GB2312"/>
          <w:sz w:val="32"/>
          <w:szCs w:val="32"/>
          <w:lang w:val="en" w:eastAsia="zh-CN"/>
        </w:rPr>
        <w:t>常态化征集并发布关键核心技术攻关清单，组织实施“揭榜挂帅”，建立基于成果实效的评审机制，推动产业真需求转化为科研真任务。</w:t>
      </w:r>
      <w:r>
        <w:rPr>
          <w:rFonts w:hint="eastAsia" w:ascii="Times New Roman" w:hAnsi="Times New Roman" w:eastAsia="仿宋_GB2312" w:cs="仿宋_GB2312"/>
          <w:sz w:val="32"/>
          <w:szCs w:val="32"/>
          <w:lang w:eastAsia="zh-CN"/>
        </w:rPr>
        <w:t>深化科技型企业梯度培育，强化企业创新决策主体、组织主体地位和科技成果转化核心载体作用，支持企业承担重大科技攻关任务、牵头组织实施科技专项，加快培育一批猎豹企业、制造业单项冠军企业、专精特新“小巨人”企业。引导和支持企业建设重点实验室、技术中心等研发机构，鼓励设立博士后科研工作站，开展协同技术攻关，增强产业内生创新能力。</w:t>
      </w:r>
      <w:r>
        <w:rPr>
          <w:rFonts w:hint="eastAsia" w:ascii="Times New Roman" w:hAnsi="Times New Roman" w:eastAsia="仿宋_GB2312" w:cs="仿宋_GB2312"/>
          <w:b/>
          <w:bCs/>
          <w:sz w:val="32"/>
          <w:szCs w:val="32"/>
          <w:lang w:eastAsia="zh-CN"/>
        </w:rPr>
        <w:t>（责任单位：区科技局</w:t>
      </w:r>
      <w:r>
        <w:rPr>
          <w:rFonts w:hint="eastAsia" w:ascii="Times New Roman" w:hAnsi="Times New Roman" w:eastAsia="仿宋_GB2312" w:cs="仿宋_GB2312"/>
          <w:b/>
          <w:bCs/>
          <w:sz w:val="32"/>
          <w:szCs w:val="32"/>
          <w:lang w:val="en-US" w:eastAsia="zh-CN"/>
        </w:rPr>
        <w:t>、海</w:t>
      </w:r>
      <w:r>
        <w:rPr>
          <w:rFonts w:hint="eastAsia" w:eastAsia="仿宋_GB2312" w:cs="仿宋_GB2312"/>
          <w:b/>
          <w:bCs/>
          <w:sz w:val="32"/>
          <w:szCs w:val="32"/>
          <w:lang w:val="en-US" w:eastAsia="zh-CN"/>
        </w:rPr>
        <w:t>河教育</w:t>
      </w:r>
      <w:r>
        <w:rPr>
          <w:rFonts w:hint="eastAsia" w:ascii="Times New Roman" w:hAnsi="Times New Roman" w:eastAsia="仿宋_GB2312" w:cs="仿宋_GB2312"/>
          <w:b/>
          <w:bCs/>
          <w:sz w:val="32"/>
          <w:szCs w:val="32"/>
          <w:lang w:val="en-US" w:eastAsia="zh-CN"/>
        </w:rPr>
        <w:t>园</w:t>
      </w:r>
      <w:r>
        <w:rPr>
          <w:rFonts w:hint="eastAsia" w:eastAsia="仿宋_GB2312" w:cs="仿宋_GB2312"/>
          <w:b/>
          <w:bCs/>
          <w:sz w:val="32"/>
          <w:szCs w:val="32"/>
          <w:lang w:val="en-US" w:eastAsia="zh-CN"/>
        </w:rPr>
        <w:t>区</w:t>
      </w:r>
      <w:r>
        <w:rPr>
          <w:rFonts w:hint="eastAsia" w:ascii="Times New Roman" w:hAnsi="Times New Roman" w:eastAsia="仿宋_GB2312" w:cs="仿宋_GB2312"/>
          <w:b/>
          <w:bCs/>
          <w:sz w:val="32"/>
          <w:szCs w:val="32"/>
          <w:lang w:val="en-US" w:eastAsia="zh-CN"/>
        </w:rPr>
        <w:t>管委会、区工</w:t>
      </w:r>
      <w:r>
        <w:rPr>
          <w:rFonts w:hint="eastAsia" w:eastAsia="仿宋_GB2312" w:cs="仿宋_GB2312"/>
          <w:b/>
          <w:bCs/>
          <w:sz w:val="32"/>
          <w:szCs w:val="32"/>
          <w:lang w:val="en-US" w:eastAsia="zh-CN"/>
        </w:rPr>
        <w:t>业和信息化</w:t>
      </w:r>
      <w:r>
        <w:rPr>
          <w:rFonts w:hint="eastAsia" w:ascii="Times New Roman" w:hAnsi="Times New Roman" w:eastAsia="仿宋_GB2312" w:cs="仿宋_GB2312"/>
          <w:b/>
          <w:bCs/>
          <w:sz w:val="32"/>
          <w:szCs w:val="32"/>
          <w:lang w:val="en-US" w:eastAsia="zh-CN"/>
        </w:rPr>
        <w:t>局、区人社局等</w:t>
      </w:r>
      <w:r>
        <w:rPr>
          <w:rFonts w:hint="eastAsia" w:ascii="Times New Roman" w:hAnsi="Times New Roman" w:eastAsia="仿宋_GB2312" w:cs="仿宋_GB2312"/>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（七）加速创新成果转化与场景应用。</w:t>
      </w:r>
      <w:r>
        <w:rPr>
          <w:rFonts w:hint="eastAsia" w:ascii="Times New Roman" w:hAnsi="Times New Roman" w:eastAsia="仿宋_GB2312" w:cs="仿宋_GB2312"/>
          <w:sz w:val="32"/>
          <w:szCs w:val="32"/>
          <w:lang w:val="en" w:eastAsia="zh-CN"/>
        </w:rPr>
        <w:t>建立全区创新产品与应用场景需求清单并定期发布，为各类创新主体的新技术、新产品提供真实测试场景和首购首用机会。</w:t>
      </w:r>
      <w:r>
        <w:rPr>
          <w:rFonts w:hint="eastAsia" w:ascii="Times New Roman" w:hAnsi="Times New Roman" w:eastAsia="仿宋_GB2312" w:cs="仿宋_GB2312"/>
          <w:sz w:val="32"/>
          <w:szCs w:val="32"/>
          <w:lang w:val="en-US" w:eastAsia="zh-CN"/>
        </w:rPr>
        <w:t>聚焦</w:t>
      </w:r>
      <w:r>
        <w:rPr>
          <w:rFonts w:hint="eastAsia" w:ascii="Times New Roman" w:hAnsi="Times New Roman" w:eastAsia="仿宋_GB2312" w:cs="仿宋_GB2312"/>
          <w:sz w:val="32"/>
          <w:szCs w:val="32"/>
          <w:lang w:val="en" w:eastAsia="zh-CN"/>
        </w:rPr>
        <w:t>智能制造、绿色低碳</w:t>
      </w:r>
      <w:r>
        <w:rPr>
          <w:rFonts w:hint="eastAsia" w:ascii="Times New Roman" w:hAnsi="Times New Roman" w:eastAsia="仿宋_GB2312" w:cs="仿宋_GB2312"/>
          <w:sz w:val="32"/>
          <w:szCs w:val="32"/>
          <w:lang w:val="en-US" w:eastAsia="zh-CN"/>
        </w:rPr>
        <w:t>、人工智能</w:t>
      </w:r>
      <w:r>
        <w:rPr>
          <w:rFonts w:hint="eastAsia" w:ascii="Times New Roman" w:hAnsi="Times New Roman" w:eastAsia="仿宋_GB2312" w:cs="仿宋_GB2312"/>
          <w:sz w:val="32"/>
          <w:szCs w:val="32"/>
          <w:lang w:val="en" w:eastAsia="zh-CN"/>
        </w:rPr>
        <w:t>等重点领域</w:t>
      </w:r>
      <w:r>
        <w:rPr>
          <w:rFonts w:hint="eastAsia" w:ascii="Times New Roman" w:hAnsi="Times New Roman" w:eastAsia="仿宋_GB2312" w:cs="仿宋_GB2312"/>
          <w:sz w:val="32"/>
          <w:szCs w:val="32"/>
          <w:lang w:val="en-US" w:eastAsia="zh-CN"/>
        </w:rPr>
        <w:t>，开放一批示范场景，</w:t>
      </w:r>
      <w:r>
        <w:rPr>
          <w:rFonts w:hint="eastAsia" w:ascii="Times New Roman" w:hAnsi="Times New Roman" w:eastAsia="仿宋_GB2312" w:cs="仿宋_GB2312"/>
          <w:sz w:val="32"/>
          <w:szCs w:val="32"/>
          <w:lang w:val="en" w:eastAsia="zh-CN"/>
        </w:rPr>
        <w:t>以场景创新拉动技术成果转化与</w:t>
      </w:r>
      <w:r>
        <w:rPr>
          <w:rFonts w:hint="eastAsia" w:ascii="Times New Roman" w:hAnsi="Times New Roman" w:eastAsia="仿宋_GB2312" w:cs="仿宋_GB2312"/>
          <w:sz w:val="32"/>
          <w:szCs w:val="32"/>
          <w:lang w:val="en-US" w:eastAsia="zh-CN"/>
        </w:rPr>
        <w:t>概念</w:t>
      </w:r>
      <w:r>
        <w:rPr>
          <w:rFonts w:hint="eastAsia" w:ascii="Times New Roman" w:hAnsi="Times New Roman" w:eastAsia="仿宋_GB2312" w:cs="仿宋_GB2312"/>
          <w:sz w:val="32"/>
          <w:szCs w:val="32"/>
          <w:lang w:val="en" w:eastAsia="zh-CN"/>
        </w:rPr>
        <w:t>验证</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lang w:val="en" w:eastAsia="zh-CN"/>
        </w:rPr>
        <w:t>升级“院校联络官”制度，精准对接掌握天南大等驻区院校的重大项目、学科带头人及成果转化动态。常态化组织校企供需对接活动，推动技术供给与产业需求高效匹配。</w:t>
      </w:r>
      <w:r>
        <w:rPr>
          <w:rFonts w:hint="eastAsia" w:ascii="Times New Roman" w:hAnsi="Times New Roman" w:eastAsia="仿宋_GB2312" w:cs="仿宋_GB2312"/>
          <w:sz w:val="32"/>
          <w:szCs w:val="32"/>
          <w:lang w:val="en-US" w:eastAsia="zh-CN"/>
        </w:rPr>
        <w:t>支持企业联合高校等创新主体，共建开放共享的行业中试与熟化平台，降低从实验室到产业化的关键门槛。</w:t>
      </w:r>
      <w:r>
        <w:rPr>
          <w:rFonts w:hint="eastAsia" w:ascii="Times New Roman" w:hAnsi="Times New Roman" w:eastAsia="仿宋_GB2312" w:cs="仿宋_GB2312"/>
          <w:b/>
          <w:bCs/>
          <w:sz w:val="32"/>
          <w:szCs w:val="32"/>
          <w:lang w:eastAsia="zh-CN"/>
        </w:rPr>
        <w:t>（责任单位：海</w:t>
      </w:r>
      <w:r>
        <w:rPr>
          <w:rFonts w:hint="eastAsia" w:eastAsia="仿宋_GB2312" w:cs="仿宋_GB2312"/>
          <w:b/>
          <w:bCs/>
          <w:sz w:val="32"/>
          <w:szCs w:val="32"/>
          <w:lang w:eastAsia="zh-CN"/>
        </w:rPr>
        <w:t>河教育园区</w:t>
      </w:r>
      <w:r>
        <w:rPr>
          <w:rFonts w:hint="eastAsia" w:ascii="Times New Roman" w:hAnsi="Times New Roman" w:eastAsia="仿宋_GB2312" w:cs="仿宋_GB2312"/>
          <w:b/>
          <w:bCs/>
          <w:sz w:val="32"/>
          <w:szCs w:val="32"/>
          <w:lang w:eastAsia="zh-CN"/>
        </w:rPr>
        <w:t>管委会、区科技局等）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三、加强对外开放构筑竞争优势</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（八）建强会展经济功能平台。</w:t>
      </w:r>
      <w:r>
        <w:rPr>
          <w:rFonts w:hint="eastAsia" w:ascii="Times New Roman" w:hAnsi="Times New Roman" w:eastAsia="仿宋_GB2312" w:cs="仿宋_GB2312"/>
          <w:sz w:val="32"/>
          <w:szCs w:val="32"/>
          <w:lang w:eastAsia="zh-CN"/>
        </w:rPr>
        <w:t>大力引进品牌展会，精心谋划主展、培育客展，全面提升会展品牌影响力。探索通过发放会展产业消费券、文惠卡等多种形式，联动产业、商务、文旅等资源，支持“会展商演赛”多业态融合运营，广泛吸引国内外各类市场主体、参展企业汇聚津南。构建“线上+线下”融合的展会交易及服务平台，提升展览贸易全流程效率与服务体验。设立会展产业发展专项资金，从引进展会、成本降低、产业体质等方面提供系统性支持。</w:t>
      </w:r>
      <w:r>
        <w:rPr>
          <w:rFonts w:hint="eastAsia" w:ascii="Times New Roman" w:hAnsi="Times New Roman" w:eastAsia="仿宋_GB2312" w:cs="仿宋_GB2312"/>
          <w:b/>
          <w:bCs/>
          <w:sz w:val="32"/>
          <w:szCs w:val="32"/>
          <w:lang w:eastAsia="zh-CN"/>
        </w:rPr>
        <w:t>（责任单位：会展经济区管委会、区商务局、区文</w:t>
      </w:r>
      <w:r>
        <w:rPr>
          <w:rFonts w:hint="eastAsia" w:eastAsia="仿宋_GB2312" w:cs="仿宋_GB2312"/>
          <w:b/>
          <w:bCs/>
          <w:sz w:val="32"/>
          <w:szCs w:val="32"/>
          <w:lang w:eastAsia="zh-CN"/>
        </w:rPr>
        <w:t>化和旅游</w:t>
      </w:r>
      <w:r>
        <w:rPr>
          <w:rFonts w:hint="eastAsia" w:ascii="Times New Roman" w:hAnsi="Times New Roman" w:eastAsia="仿宋_GB2312" w:cs="仿宋_GB2312"/>
          <w:b/>
          <w:bCs/>
          <w:sz w:val="32"/>
          <w:szCs w:val="32"/>
          <w:lang w:eastAsia="zh-CN"/>
        </w:rPr>
        <w:t>局、区财政局等）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（九）促进内外贸一体化发展。</w:t>
      </w:r>
      <w:r>
        <w:rPr>
          <w:rFonts w:hint="eastAsia" w:ascii="仿宋_GB2312" w:hAnsi="仿宋_GB2312" w:eastAsia="仿宋_GB2312" w:cs="仿宋_GB2312"/>
          <w:sz w:val="32"/>
          <w:szCs w:val="32"/>
          <w:lang w:eastAsia="zh-CN"/>
        </w:rPr>
        <w:t>支</w:t>
      </w:r>
      <w:r>
        <w:rPr>
          <w:rFonts w:hint="eastAsia" w:ascii="Times New Roman" w:hAnsi="Times New Roman" w:eastAsia="仿宋_GB2312" w:cs="仿宋_GB2312"/>
          <w:sz w:val="32"/>
          <w:szCs w:val="32"/>
          <w:lang w:eastAsia="zh-CN"/>
        </w:rPr>
        <w:t>持企业对标国际先进标准，推行“同线同标同质”生产，加快内外贸产品认证衔接。丰富商贸开放维度，支持有条件、有意愿的外贸企业开拓内销和新兴市场，加快建立国内品牌、渠道与服务体系。引导内贸企业依托会展、津滨跨境保税展示交易中心等，多元化拓展国际市场，做大跨境电商、海外仓、“保税+”业态规模。</w:t>
      </w:r>
      <w:r>
        <w:rPr>
          <w:rFonts w:hint="eastAsia" w:ascii="Times New Roman" w:hAnsi="Times New Roman" w:eastAsia="仿宋_GB2312" w:cs="仿宋_GB2312"/>
          <w:sz w:val="32"/>
          <w:szCs w:val="32"/>
          <w:lang w:val="en-US" w:eastAsia="zh-CN"/>
        </w:rPr>
        <w:t>深化与天津自由贸易试验区合作，做强大宗商品第四方服务平台，为内外贸一体化发展赋能。</w:t>
      </w:r>
      <w:r>
        <w:rPr>
          <w:rFonts w:hint="eastAsia" w:ascii="Times New Roman" w:hAnsi="Times New Roman" w:eastAsia="仿宋_GB2312" w:cs="仿宋_GB2312"/>
          <w:b/>
          <w:bCs/>
          <w:sz w:val="32"/>
          <w:szCs w:val="32"/>
          <w:lang w:eastAsia="zh-CN"/>
        </w:rPr>
        <w:t>（责任单位：区商务局）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四、紧扣</w:t>
      </w:r>
      <w:r>
        <w:rPr>
          <w:rFonts w:hint="eastAsia" w:ascii="Times New Roman" w:hAnsi="Times New Roman" w:eastAsia="黑体" w:cs="黑体"/>
          <w:sz w:val="32"/>
          <w:szCs w:val="32"/>
          <w:lang w:val="en-US" w:eastAsia="zh-CN"/>
        </w:rPr>
        <w:t>关键</w:t>
      </w:r>
      <w:r>
        <w:rPr>
          <w:rFonts w:hint="eastAsia" w:ascii="Times New Roman" w:hAnsi="Times New Roman" w:eastAsia="黑体" w:cs="黑体"/>
          <w:sz w:val="32"/>
          <w:szCs w:val="32"/>
          <w:lang w:eastAsia="zh-CN"/>
        </w:rPr>
        <w:t>环节增强发展韧性</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（十）提升生产和服务供给水平。</w:t>
      </w:r>
      <w:r>
        <w:rPr>
          <w:rFonts w:hint="eastAsia" w:ascii="Times New Roman" w:hAnsi="Times New Roman" w:eastAsia="仿宋_GB2312" w:cs="仿宋_GB2312"/>
          <w:sz w:val="32"/>
          <w:szCs w:val="32"/>
          <w:lang w:eastAsia="zh-CN"/>
        </w:rPr>
        <w:t>支持企业充分运用大数据、大模型、工业物联网等新一代信息技术，深化市场洞察与供需分析，持续优化产品和服务，提升对市场变化的适应性。鼓励企业实施模块化设计、可重构生产线等柔性制造模式，推动传统生产系统从“刚性流水线”向“智能变形体”跃迁，增强对个性化和多样化需求的响应交付能力。引导企业提升质量管理水平，实施品牌化发展战略，增加中高端产品和服务的有效供给，扩大市场竞争力和占有率。</w:t>
      </w:r>
      <w:r>
        <w:rPr>
          <w:rFonts w:hint="eastAsia" w:ascii="Times New Roman" w:hAnsi="Times New Roman" w:eastAsia="仿宋_GB2312" w:cs="仿宋_GB2312"/>
          <w:b/>
          <w:bCs/>
          <w:sz w:val="32"/>
          <w:szCs w:val="32"/>
          <w:lang w:eastAsia="zh-CN"/>
        </w:rPr>
        <w:t>（责任单位：区工</w:t>
      </w:r>
      <w:r>
        <w:rPr>
          <w:rFonts w:hint="eastAsia" w:eastAsia="仿宋_GB2312" w:cs="仿宋_GB2312"/>
          <w:b/>
          <w:bCs/>
          <w:sz w:val="32"/>
          <w:szCs w:val="32"/>
          <w:lang w:eastAsia="zh-CN"/>
        </w:rPr>
        <w:t>业和信息化</w:t>
      </w:r>
      <w:r>
        <w:rPr>
          <w:rFonts w:hint="eastAsia" w:ascii="Times New Roman" w:hAnsi="Times New Roman" w:eastAsia="仿宋_GB2312" w:cs="仿宋_GB2312"/>
          <w:b/>
          <w:bCs/>
          <w:sz w:val="32"/>
          <w:szCs w:val="32"/>
          <w:lang w:eastAsia="zh-CN"/>
        </w:rPr>
        <w:t>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（十一）创新</w:t>
      </w:r>
      <w:r>
        <w:rPr>
          <w:rFonts w:hint="eastAsia" w:ascii="Times New Roman" w:hAnsi="Times New Roman" w:eastAsia="楷体_GB2312" w:cs="楷体_GB2312"/>
          <w:sz w:val="32"/>
          <w:szCs w:val="32"/>
          <w:lang w:val="en-US" w:eastAsia="zh-CN"/>
        </w:rPr>
        <w:t>激励与</w:t>
      </w:r>
      <w:r>
        <w:rPr>
          <w:rFonts w:hint="eastAsia" w:ascii="Times New Roman" w:hAnsi="Times New Roman" w:eastAsia="楷体_GB2312" w:cs="楷体_GB2312"/>
          <w:sz w:val="32"/>
          <w:szCs w:val="32"/>
          <w:lang w:eastAsia="zh-CN"/>
        </w:rPr>
        <w:t>分配</w:t>
      </w:r>
      <w:r>
        <w:rPr>
          <w:rFonts w:hint="eastAsia" w:ascii="Times New Roman" w:hAnsi="Times New Roman" w:eastAsia="楷体_GB2312" w:cs="楷体_GB2312"/>
          <w:sz w:val="32"/>
          <w:szCs w:val="32"/>
          <w:lang w:val="en-US" w:eastAsia="zh-CN"/>
        </w:rPr>
        <w:t>机制</w:t>
      </w:r>
      <w:r>
        <w:rPr>
          <w:rFonts w:hint="eastAsia" w:ascii="Times New Roman" w:hAnsi="Times New Roman" w:eastAsia="楷体_GB2312" w:cs="楷体_GB2312"/>
          <w:sz w:val="32"/>
          <w:szCs w:val="32"/>
          <w:lang w:eastAsia="zh-CN"/>
        </w:rPr>
        <w:t>。</w:t>
      </w:r>
      <w:r>
        <w:rPr>
          <w:rFonts w:hint="eastAsia" w:ascii="Times New Roman" w:hAnsi="Times New Roman" w:eastAsia="仿宋_GB2312" w:cs="仿宋_GB2312"/>
          <w:sz w:val="32"/>
          <w:szCs w:val="32"/>
          <w:lang w:eastAsia="zh-CN"/>
        </w:rPr>
        <w:t>积极对接研究方向与津南产业发展紧密相关、承担重大科研任务的高校院所项目团队，做好配套扶持。探索项目分配机制改革，支持企业、高校院所等赋予科学家、学科带头人、科研人员等更大技术路线决定权、经费使用决定权、职务科技成果所有权或长期使用权等，激发完成人持续参与新一轮技术创新的积极性。鼓励区级财政与国资基金以现金、实物等多种形式参与项目投资，支持高校院所通过成果作价等方式参与投资，共同推动科技成果落地转化。</w:t>
      </w:r>
      <w:r>
        <w:rPr>
          <w:rFonts w:hint="eastAsia" w:ascii="Times New Roman" w:hAnsi="Times New Roman" w:eastAsia="仿宋_GB2312" w:cs="仿宋_GB2312"/>
          <w:b/>
          <w:bCs/>
          <w:sz w:val="32"/>
          <w:szCs w:val="32"/>
          <w:lang w:eastAsia="zh-CN"/>
        </w:rPr>
        <w:t>（责任单位：区科技局、海</w:t>
      </w:r>
      <w:r>
        <w:rPr>
          <w:rFonts w:hint="eastAsia" w:eastAsia="仿宋_GB2312" w:cs="仿宋_GB2312"/>
          <w:b/>
          <w:bCs/>
          <w:sz w:val="32"/>
          <w:szCs w:val="32"/>
          <w:lang w:eastAsia="zh-CN"/>
        </w:rPr>
        <w:t>河</w:t>
      </w:r>
      <w:r>
        <w:rPr>
          <w:rFonts w:hint="eastAsia" w:ascii="Times New Roman" w:hAnsi="Times New Roman" w:eastAsia="仿宋_GB2312" w:cs="仿宋_GB2312"/>
          <w:b/>
          <w:bCs/>
          <w:sz w:val="32"/>
          <w:szCs w:val="32"/>
          <w:lang w:eastAsia="zh-CN"/>
        </w:rPr>
        <w:t>教</w:t>
      </w:r>
      <w:r>
        <w:rPr>
          <w:rFonts w:hint="eastAsia" w:eastAsia="仿宋_GB2312" w:cs="仿宋_GB2312"/>
          <w:b/>
          <w:bCs/>
          <w:sz w:val="32"/>
          <w:szCs w:val="32"/>
          <w:lang w:eastAsia="zh-CN"/>
        </w:rPr>
        <w:t>育</w:t>
      </w:r>
      <w:r>
        <w:rPr>
          <w:rFonts w:hint="eastAsia" w:ascii="Times New Roman" w:hAnsi="Times New Roman" w:eastAsia="仿宋_GB2312" w:cs="仿宋_GB2312"/>
          <w:b/>
          <w:bCs/>
          <w:sz w:val="32"/>
          <w:szCs w:val="32"/>
          <w:lang w:eastAsia="zh-CN"/>
        </w:rPr>
        <w:t>园</w:t>
      </w:r>
      <w:r>
        <w:rPr>
          <w:rFonts w:hint="eastAsia" w:eastAsia="仿宋_GB2312" w:cs="仿宋_GB2312"/>
          <w:b/>
          <w:bCs/>
          <w:sz w:val="32"/>
          <w:szCs w:val="32"/>
          <w:lang w:eastAsia="zh-CN"/>
        </w:rPr>
        <w:t>区</w:t>
      </w:r>
      <w:r>
        <w:rPr>
          <w:rFonts w:hint="eastAsia" w:ascii="Times New Roman" w:hAnsi="Times New Roman" w:eastAsia="仿宋_GB2312" w:cs="仿宋_GB2312"/>
          <w:b/>
          <w:bCs/>
          <w:sz w:val="32"/>
          <w:szCs w:val="32"/>
          <w:lang w:eastAsia="zh-CN"/>
        </w:rPr>
        <w:t>管委会、区财政局、津南国投</w:t>
      </w:r>
      <w:r>
        <w:rPr>
          <w:rFonts w:hint="eastAsia" w:eastAsia="仿宋_GB2312" w:cs="仿宋_GB2312"/>
          <w:b/>
          <w:bCs/>
          <w:sz w:val="32"/>
          <w:szCs w:val="32"/>
          <w:lang w:eastAsia="zh-CN"/>
        </w:rPr>
        <w:t>集团</w:t>
      </w:r>
      <w:r>
        <w:rPr>
          <w:rFonts w:hint="eastAsia" w:ascii="Times New Roman" w:hAnsi="Times New Roman" w:eastAsia="仿宋_GB2312" w:cs="仿宋_GB2312"/>
          <w:b/>
          <w:bCs/>
          <w:sz w:val="32"/>
          <w:szCs w:val="32"/>
          <w:lang w:eastAsia="zh-CN"/>
        </w:rPr>
        <w:t>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（十二）建设现代化高效流通网络。</w:t>
      </w:r>
      <w:r>
        <w:rPr>
          <w:rFonts w:hint="eastAsia" w:ascii="Times New Roman" w:hAnsi="Times New Roman" w:eastAsia="仿宋_GB2312" w:cs="仿宋_GB2312"/>
          <w:sz w:val="32"/>
          <w:szCs w:val="32"/>
          <w:lang w:eastAsia="zh-CN"/>
        </w:rPr>
        <w:t>实施“交通强区”战略，加大交通基础设施建设投入，织密现代化流通网络。推动大数据、物联网等先进信息技术在仓储、运输、配送等流通环节深度融合应用。支持建设服务高端制造、科创产业、现代服务业发展的智慧仓储、冷链物流和保税物流中心，构建现代化流通体系。衔接天津港集疏运资源，支持区内企业开辟海外和异地市场，实现“港产城”联动发展。引聚一批具备现代化运营水平的供应链企业，促进商流、物流、信息流在津南高效集聚与协同配置。</w:t>
      </w:r>
      <w:r>
        <w:rPr>
          <w:rFonts w:hint="eastAsia" w:ascii="Times New Roman" w:hAnsi="Times New Roman" w:eastAsia="仿宋_GB2312" w:cs="仿宋_GB2312"/>
          <w:b/>
          <w:bCs/>
          <w:sz w:val="32"/>
          <w:szCs w:val="32"/>
          <w:lang w:eastAsia="zh-CN"/>
        </w:rPr>
        <w:t>（责任单位：区交</w:t>
      </w:r>
      <w:r>
        <w:rPr>
          <w:rFonts w:hint="eastAsia" w:eastAsia="仿宋_GB2312" w:cs="仿宋_GB2312"/>
          <w:b/>
          <w:bCs/>
          <w:sz w:val="32"/>
          <w:szCs w:val="32"/>
          <w:lang w:eastAsia="zh-CN"/>
        </w:rPr>
        <w:t>通运输</w:t>
      </w:r>
      <w:r>
        <w:rPr>
          <w:rFonts w:hint="eastAsia" w:ascii="Times New Roman" w:hAnsi="Times New Roman" w:eastAsia="仿宋_GB2312" w:cs="仿宋_GB2312"/>
          <w:b/>
          <w:bCs/>
          <w:sz w:val="32"/>
          <w:szCs w:val="32"/>
          <w:lang w:eastAsia="zh-CN"/>
        </w:rPr>
        <w:t>局、区工</w:t>
      </w:r>
      <w:r>
        <w:rPr>
          <w:rFonts w:hint="eastAsia" w:eastAsia="仿宋_GB2312" w:cs="仿宋_GB2312"/>
          <w:b/>
          <w:bCs/>
          <w:sz w:val="32"/>
          <w:szCs w:val="32"/>
          <w:lang w:eastAsia="zh-CN"/>
        </w:rPr>
        <w:t>业和信息化</w:t>
      </w:r>
      <w:r>
        <w:rPr>
          <w:rFonts w:hint="eastAsia" w:ascii="Times New Roman" w:hAnsi="Times New Roman" w:eastAsia="仿宋_GB2312" w:cs="仿宋_GB2312"/>
          <w:b/>
          <w:bCs/>
          <w:sz w:val="32"/>
          <w:szCs w:val="32"/>
          <w:lang w:eastAsia="zh-CN"/>
        </w:rPr>
        <w:t>局、区商务局、区发</w:t>
      </w:r>
      <w:r>
        <w:rPr>
          <w:rFonts w:hint="eastAsia" w:eastAsia="仿宋_GB2312" w:cs="仿宋_GB2312"/>
          <w:b/>
          <w:bCs/>
          <w:sz w:val="32"/>
          <w:szCs w:val="32"/>
          <w:lang w:eastAsia="zh-CN"/>
        </w:rPr>
        <w:t>展</w:t>
      </w:r>
      <w:r>
        <w:rPr>
          <w:rFonts w:hint="eastAsia" w:ascii="Times New Roman" w:hAnsi="Times New Roman" w:eastAsia="仿宋_GB2312" w:cs="仿宋_GB2312"/>
          <w:b/>
          <w:bCs/>
          <w:sz w:val="32"/>
          <w:szCs w:val="32"/>
          <w:lang w:eastAsia="zh-CN"/>
        </w:rPr>
        <w:t>改</w:t>
      </w:r>
      <w:r>
        <w:rPr>
          <w:rFonts w:hint="eastAsia" w:eastAsia="仿宋_GB2312" w:cs="仿宋_GB2312"/>
          <w:b/>
          <w:bCs/>
          <w:sz w:val="32"/>
          <w:szCs w:val="32"/>
          <w:lang w:eastAsia="zh-CN"/>
        </w:rPr>
        <w:t>革</w:t>
      </w:r>
      <w:r>
        <w:rPr>
          <w:rFonts w:hint="eastAsia" w:ascii="Times New Roman" w:hAnsi="Times New Roman" w:eastAsia="仿宋_GB2312" w:cs="仿宋_GB2312"/>
          <w:b/>
          <w:bCs/>
          <w:sz w:val="32"/>
          <w:szCs w:val="32"/>
          <w:lang w:eastAsia="zh-CN"/>
        </w:rPr>
        <w:t>委、区投资促进局等）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val="en-US" w:eastAsia="zh-CN"/>
        </w:rPr>
      </w:pPr>
      <w:r>
        <w:rPr>
          <w:rFonts w:hint="eastAsia" w:ascii="Times New Roman" w:hAnsi="Times New Roman" w:eastAsia="楷体_GB2312" w:cs="楷体_GB2312"/>
          <w:sz w:val="32"/>
          <w:szCs w:val="32"/>
          <w:lang w:eastAsia="zh-CN"/>
        </w:rPr>
        <w:t>（十三）培育消费新业态新模式。</w:t>
      </w:r>
      <w:r>
        <w:rPr>
          <w:rFonts w:hint="eastAsia" w:ascii="Times New Roman" w:hAnsi="Times New Roman" w:eastAsia="仿宋_GB2312" w:cs="仿宋_GB2312"/>
          <w:sz w:val="32"/>
          <w:szCs w:val="32"/>
          <w:lang w:eastAsia="zh-CN"/>
        </w:rPr>
        <w:t>支持商贸实体以数字化转型为核心，多元发展平台经济、直播电商等线上业态，创新体验式、主题式等线下消费场景，更好满足多元化、高品质市场需求。</w:t>
      </w:r>
      <w:r>
        <w:rPr>
          <w:rFonts w:hint="eastAsia" w:ascii="Times New Roman" w:hAnsi="Times New Roman" w:eastAsia="仿宋_GB2312" w:cs="仿宋_GB2312"/>
          <w:sz w:val="32"/>
          <w:szCs w:val="32"/>
          <w:lang w:val="en-US" w:eastAsia="zh-CN"/>
        </w:rPr>
        <w:t>依托生态、科创、会展“三张好牌”及练兵、稻耕、民俗等“本土资源”，系统开发全域文旅产品和特色消费地标，推动文商旅体康养学等多业态融合创新。聚焦供需两端深入提振消费，优化消费品以旧换新政策，通过</w:t>
      </w:r>
      <w:r>
        <w:rPr>
          <w:rFonts w:hint="eastAsia" w:ascii="Times New Roman" w:hAnsi="Times New Roman" w:eastAsia="仿宋_GB2312" w:cs="仿宋_GB2312"/>
          <w:sz w:val="32"/>
          <w:szCs w:val="32"/>
          <w:lang w:eastAsia="zh-CN"/>
        </w:rPr>
        <w:t>政企联动</w:t>
      </w:r>
      <w:r>
        <w:rPr>
          <w:rFonts w:hint="eastAsia" w:ascii="Times New Roman" w:hAnsi="Times New Roman" w:eastAsia="仿宋_GB2312" w:cs="仿宋_GB2312"/>
          <w:sz w:val="32"/>
          <w:szCs w:val="32"/>
          <w:lang w:val="en-US" w:eastAsia="zh-CN"/>
        </w:rPr>
        <w:t>发放消费券、开展促销活动等方式，协同促进线上与线下、本地与外来、商品与服务、大众与升级类消费，持续激发</w:t>
      </w:r>
      <w:r>
        <w:rPr>
          <w:rFonts w:hint="eastAsia" w:ascii="Times New Roman" w:hAnsi="Times New Roman" w:eastAsia="仿宋_GB2312" w:cs="仿宋_GB2312"/>
          <w:sz w:val="32"/>
          <w:szCs w:val="32"/>
          <w:lang w:eastAsia="zh-CN"/>
        </w:rPr>
        <w:t>市场活力，加快构建“大消费”格局</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b/>
          <w:bCs/>
          <w:sz w:val="32"/>
          <w:szCs w:val="32"/>
          <w:lang w:val="en-US" w:eastAsia="zh-CN"/>
        </w:rPr>
        <w:t>（</w:t>
      </w:r>
      <w:r>
        <w:rPr>
          <w:rFonts w:hint="eastAsia" w:ascii="Times New Roman" w:hAnsi="Times New Roman" w:eastAsia="仿宋_GB2312" w:cs="仿宋_GB2312"/>
          <w:b/>
          <w:bCs/>
          <w:sz w:val="32"/>
          <w:szCs w:val="32"/>
          <w:lang w:eastAsia="zh-CN"/>
        </w:rPr>
        <w:t>责任单位</w:t>
      </w:r>
      <w:r>
        <w:rPr>
          <w:rFonts w:hint="eastAsia" w:ascii="Times New Roman" w:hAnsi="Times New Roman" w:eastAsia="仿宋_GB2312" w:cs="仿宋_GB2312"/>
          <w:b/>
          <w:bCs/>
          <w:sz w:val="32"/>
          <w:szCs w:val="32"/>
          <w:lang w:val="en-US" w:eastAsia="zh-CN"/>
        </w:rPr>
        <w:t>：区商务局、</w:t>
      </w:r>
      <w:r>
        <w:rPr>
          <w:rFonts w:hint="eastAsia" w:ascii="Times New Roman" w:hAnsi="Times New Roman" w:eastAsia="仿宋_GB2312" w:cs="仿宋_GB2312"/>
          <w:b/>
          <w:bCs/>
          <w:sz w:val="32"/>
          <w:szCs w:val="32"/>
          <w:lang w:eastAsia="zh-CN"/>
        </w:rPr>
        <w:t>区</w:t>
      </w:r>
      <w:r>
        <w:rPr>
          <w:rFonts w:hint="eastAsia" w:ascii="Times New Roman" w:hAnsi="Times New Roman" w:eastAsia="仿宋_GB2312" w:cs="仿宋_GB2312"/>
          <w:b/>
          <w:bCs/>
          <w:sz w:val="32"/>
          <w:szCs w:val="32"/>
          <w:lang w:val="en-US" w:eastAsia="zh-CN"/>
        </w:rPr>
        <w:t>文</w:t>
      </w:r>
      <w:r>
        <w:rPr>
          <w:rFonts w:hint="eastAsia" w:eastAsia="仿宋_GB2312" w:cs="仿宋_GB2312"/>
          <w:b/>
          <w:bCs/>
          <w:sz w:val="32"/>
          <w:szCs w:val="32"/>
          <w:lang w:val="en-US" w:eastAsia="zh-CN"/>
        </w:rPr>
        <w:t>化和旅游</w:t>
      </w:r>
      <w:r>
        <w:rPr>
          <w:rFonts w:hint="eastAsia" w:ascii="Times New Roman" w:hAnsi="Times New Roman" w:eastAsia="仿宋_GB2312" w:cs="仿宋_GB2312"/>
          <w:b/>
          <w:bCs/>
          <w:sz w:val="32"/>
          <w:szCs w:val="32"/>
          <w:lang w:eastAsia="zh-CN"/>
        </w:rPr>
        <w:t>局、区民政局、区卫</w:t>
      </w:r>
      <w:r>
        <w:rPr>
          <w:rFonts w:hint="eastAsia" w:eastAsia="仿宋_GB2312" w:cs="仿宋_GB2312"/>
          <w:b/>
          <w:bCs/>
          <w:sz w:val="32"/>
          <w:szCs w:val="32"/>
          <w:lang w:eastAsia="zh-CN"/>
        </w:rPr>
        <w:t>生</w:t>
      </w:r>
      <w:r>
        <w:rPr>
          <w:rFonts w:hint="eastAsia" w:ascii="Times New Roman" w:hAnsi="Times New Roman" w:eastAsia="仿宋_GB2312" w:cs="仿宋_GB2312"/>
          <w:b/>
          <w:bCs/>
          <w:sz w:val="32"/>
          <w:szCs w:val="32"/>
          <w:lang w:eastAsia="zh-CN"/>
        </w:rPr>
        <w:t>健</w:t>
      </w:r>
      <w:r>
        <w:rPr>
          <w:rFonts w:hint="eastAsia" w:eastAsia="仿宋_GB2312" w:cs="仿宋_GB2312"/>
          <w:b/>
          <w:bCs/>
          <w:sz w:val="32"/>
          <w:szCs w:val="32"/>
          <w:lang w:eastAsia="zh-CN"/>
        </w:rPr>
        <w:t>康</w:t>
      </w:r>
      <w:r>
        <w:rPr>
          <w:rFonts w:hint="eastAsia" w:ascii="Times New Roman" w:hAnsi="Times New Roman" w:eastAsia="仿宋_GB2312" w:cs="仿宋_GB2312"/>
          <w:b/>
          <w:bCs/>
          <w:sz w:val="32"/>
          <w:szCs w:val="32"/>
          <w:lang w:eastAsia="zh-CN"/>
        </w:rPr>
        <w:t>委、区教育局</w:t>
      </w:r>
      <w:r>
        <w:rPr>
          <w:rFonts w:hint="eastAsia" w:ascii="Times New Roman" w:hAnsi="Times New Roman" w:eastAsia="仿宋_GB2312" w:cs="仿宋_GB2312"/>
          <w:b/>
          <w:bCs/>
          <w:sz w:val="32"/>
          <w:szCs w:val="32"/>
          <w:lang w:val="en-US" w:eastAsia="zh-CN"/>
        </w:rPr>
        <w:t>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五、强化要素赋能激发产业活力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（十四）优化产业用地及载体保障。</w:t>
      </w:r>
      <w:r>
        <w:rPr>
          <w:rFonts w:hint="eastAsia" w:ascii="Times New Roman" w:hAnsi="Times New Roman" w:eastAsia="仿宋_GB2312" w:cs="仿宋_GB2312"/>
          <w:sz w:val="32"/>
          <w:szCs w:val="32"/>
          <w:lang w:eastAsia="zh-CN"/>
        </w:rPr>
        <w:t>依据国土空间规划做好产业项目用地保障。推行“标准地”出让模式，土地供应前明确投资强度、产出效益、能耗环保等标准，建立“亩均论英雄”评价及监管体系，提升土地资源配置效率和产出效益。实施长期租赁、先租后让、弹性年期等多元化供地方式，降低创新创业企业的初始用地成本。盘活存量低效用地，鼓励通过升级改造、功能置换等方式，将闲置厂房、老旧园区用于战略性新兴产业和未来产业发展。高标准建设天开津南园等现代化载体，支持设立功能多元的“园中园”，支持创新创业和技术研发。</w:t>
      </w:r>
      <w:r>
        <w:rPr>
          <w:rFonts w:hint="eastAsia" w:ascii="Times New Roman" w:hAnsi="Times New Roman" w:eastAsia="仿宋_GB2312" w:cs="仿宋_GB2312"/>
          <w:b/>
          <w:bCs/>
          <w:sz w:val="32"/>
          <w:szCs w:val="32"/>
          <w:lang w:val="en-US" w:eastAsia="zh-CN"/>
        </w:rPr>
        <w:t>（</w:t>
      </w:r>
      <w:r>
        <w:rPr>
          <w:rFonts w:hint="eastAsia" w:ascii="Times New Roman" w:hAnsi="Times New Roman" w:eastAsia="仿宋_GB2312" w:cs="仿宋_GB2312"/>
          <w:b/>
          <w:bCs/>
          <w:sz w:val="32"/>
          <w:szCs w:val="32"/>
          <w:lang w:eastAsia="zh-CN"/>
        </w:rPr>
        <w:t>责任单位</w:t>
      </w:r>
      <w:r>
        <w:rPr>
          <w:rFonts w:hint="eastAsia" w:ascii="Times New Roman" w:hAnsi="Times New Roman" w:eastAsia="仿宋_GB2312" w:cs="仿宋_GB2312"/>
          <w:b/>
          <w:bCs/>
          <w:sz w:val="32"/>
          <w:szCs w:val="32"/>
          <w:lang w:val="en-US" w:eastAsia="zh-CN"/>
        </w:rPr>
        <w:t>：规划资源分局、海</w:t>
      </w:r>
      <w:r>
        <w:rPr>
          <w:rFonts w:hint="eastAsia" w:eastAsia="仿宋_GB2312" w:cs="仿宋_GB2312"/>
          <w:b/>
          <w:bCs/>
          <w:sz w:val="32"/>
          <w:szCs w:val="32"/>
          <w:lang w:val="en-US" w:eastAsia="zh-CN"/>
        </w:rPr>
        <w:t>河教育园区</w:t>
      </w:r>
      <w:r>
        <w:rPr>
          <w:rFonts w:hint="eastAsia" w:ascii="Times New Roman" w:hAnsi="Times New Roman" w:eastAsia="仿宋_GB2312" w:cs="仿宋_GB2312"/>
          <w:b/>
          <w:bCs/>
          <w:sz w:val="32"/>
          <w:szCs w:val="32"/>
          <w:lang w:val="en-US" w:eastAsia="zh-CN"/>
        </w:rPr>
        <w:t>管委会、各镇街及园区等）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（十五）筑牢</w:t>
      </w:r>
      <w:r>
        <w:rPr>
          <w:rFonts w:hint="eastAsia" w:ascii="Times New Roman" w:hAnsi="Times New Roman" w:eastAsia="楷体_GB2312" w:cs="楷体_GB2312"/>
          <w:sz w:val="32"/>
          <w:szCs w:val="32"/>
          <w:lang w:val="en-US" w:eastAsia="zh-CN"/>
        </w:rPr>
        <w:t>人才智力支撑</w:t>
      </w:r>
      <w:r>
        <w:rPr>
          <w:rFonts w:hint="eastAsia" w:ascii="Times New Roman" w:hAnsi="Times New Roman" w:eastAsia="楷体_GB2312" w:cs="楷体_GB2312"/>
          <w:sz w:val="32"/>
          <w:szCs w:val="32"/>
          <w:lang w:eastAsia="zh-CN"/>
        </w:rPr>
        <w:t>。</w:t>
      </w:r>
      <w:r>
        <w:rPr>
          <w:rFonts w:hint="eastAsia" w:ascii="Times New Roman" w:hAnsi="Times New Roman" w:eastAsia="仿宋_GB2312" w:cs="仿宋_GB2312"/>
          <w:sz w:val="32"/>
          <w:szCs w:val="32"/>
          <w:lang w:eastAsia="zh-CN"/>
        </w:rPr>
        <w:t>聚焦高层次人才、重点领域人才、专业技术和技能人才、青年人才，构建涵盖创业扶持、就业补贴、实习实践、教育医疗、住房安居等于一体的“人才政策支持包”，优化推出“津南人才服务卡”，提升人才吸引力和留才竞争力。聚焦重点产业发展需要，鼓励企业与高校共建产学研合作平台，深化招才引智、人才交流和协同创新。聚焦人才成长与发展需求，积极推荐参评各级重点人才专项，畅通评价激励机制和职业发展通道，营造近悦远来、活力迸发的人才发展生态。</w:t>
      </w:r>
      <w:r>
        <w:rPr>
          <w:rFonts w:hint="eastAsia" w:ascii="Times New Roman" w:hAnsi="Times New Roman" w:eastAsia="仿宋_GB2312" w:cs="仿宋_GB2312"/>
          <w:b/>
          <w:bCs/>
          <w:sz w:val="32"/>
          <w:szCs w:val="32"/>
          <w:lang w:val="en-US" w:eastAsia="zh-CN"/>
        </w:rPr>
        <w:t>（责任单位：区委人才办、区人社局等）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（十六）</w:t>
      </w:r>
      <w:r>
        <w:rPr>
          <w:rFonts w:hint="eastAsia" w:ascii="Times New Roman" w:hAnsi="Times New Roman" w:eastAsia="楷体_GB2312" w:cs="楷体_GB2312"/>
          <w:sz w:val="32"/>
          <w:szCs w:val="32"/>
          <w:lang w:val="en-US" w:eastAsia="zh-CN"/>
        </w:rPr>
        <w:t>构建专业化科技服务体系</w:t>
      </w:r>
      <w:r>
        <w:rPr>
          <w:rFonts w:hint="eastAsia" w:ascii="Times New Roman" w:hAnsi="Times New Roman" w:eastAsia="楷体_GB2312" w:cs="楷体_GB2312"/>
          <w:sz w:val="32"/>
          <w:szCs w:val="32"/>
          <w:lang w:eastAsia="zh-CN"/>
        </w:rPr>
        <w:t>。</w:t>
      </w:r>
      <w:r>
        <w:rPr>
          <w:rFonts w:hint="eastAsia" w:ascii="Times New Roman" w:hAnsi="Times New Roman" w:eastAsia="仿宋_GB2312" w:cs="仿宋_GB2312"/>
          <w:sz w:val="32"/>
          <w:szCs w:val="32"/>
          <w:lang w:eastAsia="zh-CN"/>
        </w:rPr>
        <w:t>深入实施“硕果计划”，健全“揭榜挂帅”机制，支持高校院所及企业攻克产业关键技术与前沿科学问题。培育专业化技术转移机构，为成果转化提供全链条服务。推广科技成果“先使用后付费”模式，推动高校院所科技成果向中小企业开放许可，灵活采用“里程碑”付款、收益分成、作价入股等方式共享转化收益。高标准建设国家级产教融合</w:t>
      </w:r>
      <w:r>
        <w:rPr>
          <w:rFonts w:hint="eastAsia" w:ascii="Times New Roman" w:hAnsi="Times New Roman" w:eastAsia="仿宋_GB2312" w:cs="仿宋_GB2312"/>
          <w:sz w:val="32"/>
          <w:szCs w:val="32"/>
          <w:lang w:val="en-US" w:eastAsia="zh-CN"/>
        </w:rPr>
        <w:t>试点城市</w:t>
      </w:r>
      <w:r>
        <w:rPr>
          <w:rFonts w:hint="eastAsia" w:ascii="Times New Roman" w:hAnsi="Times New Roman" w:eastAsia="仿宋_GB2312" w:cs="仿宋_GB2312"/>
          <w:sz w:val="32"/>
          <w:szCs w:val="32"/>
          <w:lang w:eastAsia="zh-CN"/>
        </w:rPr>
        <w:t>核心区，打造市域产教联合体和行业产教融合共同体，</w:t>
      </w:r>
      <w:r>
        <w:rPr>
          <w:rFonts w:hint="eastAsia" w:ascii="Times New Roman" w:hAnsi="Times New Roman" w:eastAsia="仿宋_GB2312" w:cs="仿宋_GB2312"/>
          <w:sz w:val="32"/>
          <w:szCs w:val="32"/>
          <w:lang w:val="en-US" w:eastAsia="zh-CN"/>
        </w:rPr>
        <w:t>推动</w:t>
      </w:r>
      <w:r>
        <w:rPr>
          <w:rFonts w:hint="eastAsia" w:ascii="Times New Roman" w:hAnsi="Times New Roman" w:eastAsia="仿宋_GB2312" w:cs="仿宋_GB2312"/>
          <w:sz w:val="32"/>
          <w:szCs w:val="32"/>
          <w:lang w:eastAsia="zh-CN"/>
        </w:rPr>
        <w:t>校企在招生培养、技术攻关、共建开放型产教融合实践中心等环节深度协同。</w:t>
      </w:r>
      <w:r>
        <w:rPr>
          <w:rFonts w:hint="eastAsia" w:ascii="Times New Roman" w:hAnsi="Times New Roman" w:eastAsia="仿宋_GB2312" w:cs="仿宋_GB2312"/>
          <w:b/>
          <w:bCs/>
          <w:sz w:val="32"/>
          <w:szCs w:val="32"/>
          <w:lang w:val="en-US" w:eastAsia="zh-CN"/>
        </w:rPr>
        <w:t>（</w:t>
      </w:r>
      <w:r>
        <w:rPr>
          <w:rFonts w:hint="eastAsia" w:ascii="Times New Roman" w:hAnsi="Times New Roman" w:eastAsia="仿宋_GB2312" w:cs="仿宋_GB2312"/>
          <w:b/>
          <w:bCs/>
          <w:sz w:val="32"/>
          <w:szCs w:val="32"/>
          <w:lang w:eastAsia="zh-CN"/>
        </w:rPr>
        <w:t>责任单位</w:t>
      </w:r>
      <w:r>
        <w:rPr>
          <w:rFonts w:hint="eastAsia" w:ascii="Times New Roman" w:hAnsi="Times New Roman" w:eastAsia="仿宋_GB2312" w:cs="仿宋_GB2312"/>
          <w:b/>
          <w:bCs/>
          <w:sz w:val="32"/>
          <w:szCs w:val="32"/>
          <w:lang w:val="en-US" w:eastAsia="zh-CN"/>
        </w:rPr>
        <w:t>：区科技局、区发</w:t>
      </w:r>
      <w:r>
        <w:rPr>
          <w:rFonts w:hint="eastAsia" w:eastAsia="仿宋_GB2312" w:cs="仿宋_GB2312"/>
          <w:b/>
          <w:bCs/>
          <w:sz w:val="32"/>
          <w:szCs w:val="32"/>
          <w:lang w:val="en-US" w:eastAsia="zh-CN"/>
        </w:rPr>
        <w:t>展</w:t>
      </w:r>
      <w:r>
        <w:rPr>
          <w:rFonts w:hint="eastAsia" w:ascii="Times New Roman" w:hAnsi="Times New Roman" w:eastAsia="仿宋_GB2312" w:cs="仿宋_GB2312"/>
          <w:b/>
          <w:bCs/>
          <w:sz w:val="32"/>
          <w:szCs w:val="32"/>
          <w:lang w:val="en-US" w:eastAsia="zh-CN"/>
        </w:rPr>
        <w:t>改</w:t>
      </w:r>
      <w:r>
        <w:rPr>
          <w:rFonts w:hint="eastAsia" w:eastAsia="仿宋_GB2312" w:cs="仿宋_GB2312"/>
          <w:b/>
          <w:bCs/>
          <w:sz w:val="32"/>
          <w:szCs w:val="32"/>
          <w:lang w:val="en-US" w:eastAsia="zh-CN"/>
        </w:rPr>
        <w:t>革</w:t>
      </w:r>
      <w:r>
        <w:rPr>
          <w:rFonts w:hint="eastAsia" w:ascii="Times New Roman" w:hAnsi="Times New Roman" w:eastAsia="仿宋_GB2312" w:cs="仿宋_GB2312"/>
          <w:b/>
          <w:bCs/>
          <w:sz w:val="32"/>
          <w:szCs w:val="32"/>
          <w:lang w:val="en-US" w:eastAsia="zh-CN"/>
        </w:rPr>
        <w:t>委、海</w:t>
      </w:r>
      <w:r>
        <w:rPr>
          <w:rFonts w:hint="eastAsia" w:eastAsia="仿宋_GB2312" w:cs="仿宋_GB2312"/>
          <w:b/>
          <w:bCs/>
          <w:sz w:val="32"/>
          <w:szCs w:val="32"/>
          <w:lang w:val="en-US" w:eastAsia="zh-CN"/>
        </w:rPr>
        <w:t>河</w:t>
      </w:r>
      <w:r>
        <w:rPr>
          <w:rFonts w:hint="eastAsia" w:ascii="Times New Roman" w:hAnsi="Times New Roman" w:eastAsia="仿宋_GB2312" w:cs="仿宋_GB2312"/>
          <w:b/>
          <w:bCs/>
          <w:sz w:val="32"/>
          <w:szCs w:val="32"/>
          <w:lang w:val="en-US" w:eastAsia="zh-CN"/>
        </w:rPr>
        <w:t>教</w:t>
      </w:r>
      <w:r>
        <w:rPr>
          <w:rFonts w:hint="eastAsia" w:eastAsia="仿宋_GB2312" w:cs="仿宋_GB2312"/>
          <w:b/>
          <w:bCs/>
          <w:sz w:val="32"/>
          <w:szCs w:val="32"/>
          <w:lang w:val="en-US" w:eastAsia="zh-CN"/>
        </w:rPr>
        <w:t>育</w:t>
      </w:r>
      <w:r>
        <w:rPr>
          <w:rFonts w:hint="eastAsia" w:ascii="Times New Roman" w:hAnsi="Times New Roman" w:eastAsia="仿宋_GB2312" w:cs="仿宋_GB2312"/>
          <w:b/>
          <w:bCs/>
          <w:sz w:val="32"/>
          <w:szCs w:val="32"/>
          <w:lang w:val="en-US" w:eastAsia="zh-CN"/>
        </w:rPr>
        <w:t>园</w:t>
      </w:r>
      <w:r>
        <w:rPr>
          <w:rFonts w:hint="eastAsia" w:eastAsia="仿宋_GB2312" w:cs="仿宋_GB2312"/>
          <w:b/>
          <w:bCs/>
          <w:sz w:val="32"/>
          <w:szCs w:val="32"/>
          <w:lang w:val="en-US" w:eastAsia="zh-CN"/>
        </w:rPr>
        <w:t>区</w:t>
      </w:r>
      <w:r>
        <w:rPr>
          <w:rFonts w:hint="eastAsia" w:ascii="Times New Roman" w:hAnsi="Times New Roman" w:eastAsia="仿宋_GB2312" w:cs="仿宋_GB2312"/>
          <w:b/>
          <w:bCs/>
          <w:sz w:val="32"/>
          <w:szCs w:val="32"/>
          <w:lang w:val="en-US" w:eastAsia="zh-CN"/>
        </w:rPr>
        <w:t>管委会等）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楷体_GB2312" w:cs="楷体_GB2312"/>
          <w:sz w:val="32"/>
          <w:szCs w:val="32"/>
          <w:lang w:eastAsia="zh-CN"/>
        </w:rPr>
        <w:t>（十七）强化多元化资金引导。</w:t>
      </w:r>
      <w:r>
        <w:rPr>
          <w:rFonts w:hint="eastAsia" w:ascii="Times New Roman" w:hAnsi="Times New Roman" w:eastAsia="仿宋_GB2312" w:cs="仿宋_GB2312"/>
          <w:sz w:val="32"/>
          <w:szCs w:val="32"/>
          <w:lang w:eastAsia="zh-CN"/>
        </w:rPr>
        <w:t>积极争取并规范使用上级资金，支持符合条件的产业项目申报中央投资、地方政府专项债券，参与国家大规模设备更新和消费品以旧换新行动。大力发展科技金融，构建“种子</w:t>
      </w:r>
      <w:r>
        <w:rPr>
          <w:rFonts w:hint="eastAsia" w:ascii="Times New Roman" w:hAnsi="Times New Roman" w:eastAsia="仿宋_GB2312" w:cs="仿宋_GB2312"/>
          <w:sz w:val="32"/>
          <w:szCs w:val="32"/>
          <w:lang w:val="en-US" w:eastAsia="zh-CN"/>
        </w:rPr>
        <w:t>+天使+创投+产业+并购</w:t>
      </w:r>
      <w:r>
        <w:rPr>
          <w:rFonts w:hint="eastAsia" w:ascii="Times New Roman" w:hAnsi="Times New Roman" w:eastAsia="仿宋_GB2312" w:cs="仿宋_GB2312"/>
          <w:sz w:val="32"/>
          <w:szCs w:val="32"/>
          <w:lang w:eastAsia="zh-CN"/>
        </w:rPr>
        <w:t>”全生命周期基金群，撬动社会资本“投早、投小、投硬科技项目”。鼓励金融机构面向科技创新与产业需求，开展“贷款+外部直投”“贷款+认股权”等业务创新，拓宽市场化融资渠道。对符合条件的科技型中小企业，支持融资担保机构提供增信服务。依法依规运用财政资金给予保费补贴、贷款贴息等支持，构建市场化、可持续的风险共担机制。</w:t>
      </w:r>
      <w:r>
        <w:rPr>
          <w:rFonts w:hint="eastAsia" w:ascii="Times New Roman" w:hAnsi="Times New Roman" w:eastAsia="仿宋_GB2312" w:cs="仿宋_GB2312"/>
          <w:b/>
          <w:bCs/>
          <w:sz w:val="32"/>
          <w:szCs w:val="32"/>
          <w:lang w:val="en-US" w:eastAsia="zh-CN"/>
        </w:rPr>
        <w:t>（</w:t>
      </w:r>
      <w:r>
        <w:rPr>
          <w:rFonts w:hint="eastAsia" w:ascii="Times New Roman" w:hAnsi="Times New Roman" w:eastAsia="仿宋_GB2312" w:cs="仿宋_GB2312"/>
          <w:b/>
          <w:bCs/>
          <w:sz w:val="32"/>
          <w:szCs w:val="32"/>
          <w:lang w:eastAsia="zh-CN"/>
        </w:rPr>
        <w:t>责任单位</w:t>
      </w:r>
      <w:r>
        <w:rPr>
          <w:rFonts w:hint="eastAsia" w:ascii="Times New Roman" w:hAnsi="Times New Roman" w:eastAsia="仿宋_GB2312" w:cs="仿宋_GB2312"/>
          <w:b/>
          <w:bCs/>
          <w:sz w:val="32"/>
          <w:szCs w:val="32"/>
          <w:lang w:val="en-US" w:eastAsia="zh-CN"/>
        </w:rPr>
        <w:t>：区财政局、区发</w:t>
      </w:r>
      <w:r>
        <w:rPr>
          <w:rFonts w:hint="eastAsia" w:eastAsia="仿宋_GB2312" w:cs="仿宋_GB2312"/>
          <w:b/>
          <w:bCs/>
          <w:sz w:val="32"/>
          <w:szCs w:val="32"/>
          <w:lang w:val="en-US" w:eastAsia="zh-CN"/>
        </w:rPr>
        <w:t>展</w:t>
      </w:r>
      <w:r>
        <w:rPr>
          <w:rFonts w:hint="eastAsia" w:ascii="Times New Roman" w:hAnsi="Times New Roman" w:eastAsia="仿宋_GB2312" w:cs="仿宋_GB2312"/>
          <w:b/>
          <w:bCs/>
          <w:sz w:val="32"/>
          <w:szCs w:val="32"/>
          <w:lang w:val="en-US" w:eastAsia="zh-CN"/>
        </w:rPr>
        <w:t>改</w:t>
      </w:r>
      <w:r>
        <w:rPr>
          <w:rFonts w:hint="eastAsia" w:eastAsia="仿宋_GB2312" w:cs="仿宋_GB2312"/>
          <w:b/>
          <w:bCs/>
          <w:sz w:val="32"/>
          <w:szCs w:val="32"/>
          <w:lang w:val="en-US" w:eastAsia="zh-CN"/>
        </w:rPr>
        <w:t>革</w:t>
      </w:r>
      <w:r>
        <w:rPr>
          <w:rFonts w:hint="eastAsia" w:ascii="Times New Roman" w:hAnsi="Times New Roman" w:eastAsia="仿宋_GB2312" w:cs="仿宋_GB2312"/>
          <w:b/>
          <w:bCs/>
          <w:sz w:val="32"/>
          <w:szCs w:val="32"/>
          <w:lang w:val="en-US" w:eastAsia="zh-CN"/>
        </w:rPr>
        <w:t>委等）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（十八）推进</w:t>
      </w:r>
      <w:r>
        <w:rPr>
          <w:rFonts w:hint="eastAsia" w:ascii="Times New Roman" w:hAnsi="Times New Roman" w:eastAsia="楷体_GB2312" w:cs="楷体_GB2312"/>
          <w:sz w:val="32"/>
          <w:szCs w:val="32"/>
          <w:lang w:val="en-US" w:eastAsia="zh-CN"/>
        </w:rPr>
        <w:t>数据要素市场化配置改革</w:t>
      </w:r>
      <w:r>
        <w:rPr>
          <w:rFonts w:hint="eastAsia" w:ascii="Times New Roman" w:hAnsi="Times New Roman" w:eastAsia="楷体_GB2312" w:cs="楷体_GB2312"/>
          <w:sz w:val="32"/>
          <w:szCs w:val="32"/>
          <w:lang w:eastAsia="zh-CN"/>
        </w:rPr>
        <w:t>。</w:t>
      </w:r>
      <w:r>
        <w:rPr>
          <w:rFonts w:hint="eastAsia" w:ascii="Times New Roman" w:hAnsi="Times New Roman" w:eastAsia="仿宋_GB2312" w:cs="仿宋_GB2312"/>
          <w:sz w:val="32"/>
          <w:szCs w:val="32"/>
          <w:lang w:val="en-US" w:eastAsia="zh-CN"/>
        </w:rPr>
        <w:t>分类推进公共数据、企业数据、个人数据开发利用和授权运营。探索建立数据</w:t>
      </w:r>
      <w:r>
        <w:rPr>
          <w:rFonts w:hint="eastAsia" w:ascii="Times New Roman" w:hAnsi="Times New Roman" w:eastAsia="仿宋_GB2312" w:cs="仿宋_GB2312"/>
          <w:sz w:val="32"/>
          <w:szCs w:val="32"/>
          <w:lang w:eastAsia="zh-CN"/>
        </w:rPr>
        <w:t>产权界定、流通交易、收益分配等基本规则与工作机制。培育和吸引合规认证、质量评估、资产定价等市场化专业服务机构，积极打造可信数据空间和数据交易平台，培育数据要素流通服务生态。鼓励和支持市场主体建设开放共享的数据标注创新平台，开展智能化标注工具研发，促进</w:t>
      </w:r>
      <w:r>
        <w:rPr>
          <w:rFonts w:hint="eastAsia" w:ascii="Times New Roman" w:hAnsi="Times New Roman" w:eastAsia="仿宋_GB2312" w:cs="仿宋_GB2312"/>
          <w:sz w:val="32"/>
          <w:szCs w:val="32"/>
          <w:lang w:val="en-US" w:eastAsia="zh-CN"/>
        </w:rPr>
        <w:t>天津市智能数据标注产业基地建设。</w:t>
      </w:r>
      <w:r>
        <w:rPr>
          <w:rFonts w:hint="eastAsia" w:ascii="Times New Roman" w:hAnsi="Times New Roman" w:eastAsia="仿宋_GB2312" w:cs="仿宋_GB2312"/>
          <w:sz w:val="32"/>
          <w:szCs w:val="32"/>
          <w:lang w:eastAsia="zh-CN"/>
        </w:rPr>
        <w:t>推广使用隐私计算、区块链等可信技术，推动数据流通安全可控，构建“采存算管用安”全生命周期保障体系。</w:t>
      </w:r>
      <w:r>
        <w:rPr>
          <w:rFonts w:hint="eastAsia" w:ascii="Times New Roman" w:hAnsi="Times New Roman" w:eastAsia="仿宋_GB2312" w:cs="仿宋_GB2312"/>
          <w:b/>
          <w:bCs/>
          <w:sz w:val="32"/>
          <w:szCs w:val="32"/>
          <w:lang w:val="en-US" w:eastAsia="zh-CN"/>
        </w:rPr>
        <w:t>（</w:t>
      </w:r>
      <w:r>
        <w:rPr>
          <w:rFonts w:hint="eastAsia" w:ascii="Times New Roman" w:hAnsi="Times New Roman" w:eastAsia="仿宋_GB2312" w:cs="仿宋_GB2312"/>
          <w:b/>
          <w:bCs/>
          <w:sz w:val="32"/>
          <w:szCs w:val="32"/>
          <w:lang w:eastAsia="zh-CN"/>
        </w:rPr>
        <w:t>责任单位</w:t>
      </w:r>
      <w:r>
        <w:rPr>
          <w:rFonts w:hint="eastAsia" w:ascii="Times New Roman" w:hAnsi="Times New Roman" w:eastAsia="仿宋_GB2312" w:cs="仿宋_GB2312"/>
          <w:b/>
          <w:bCs/>
          <w:sz w:val="32"/>
          <w:szCs w:val="32"/>
          <w:lang w:val="en-US" w:eastAsia="zh-CN"/>
        </w:rPr>
        <w:t>：区发</w:t>
      </w:r>
      <w:r>
        <w:rPr>
          <w:rFonts w:hint="eastAsia" w:eastAsia="仿宋_GB2312" w:cs="仿宋_GB2312"/>
          <w:b/>
          <w:bCs/>
          <w:sz w:val="32"/>
          <w:szCs w:val="32"/>
          <w:lang w:val="en-US" w:eastAsia="zh-CN"/>
        </w:rPr>
        <w:t>展</w:t>
      </w:r>
      <w:r>
        <w:rPr>
          <w:rFonts w:hint="eastAsia" w:ascii="Times New Roman" w:hAnsi="Times New Roman" w:eastAsia="仿宋_GB2312" w:cs="仿宋_GB2312"/>
          <w:b/>
          <w:bCs/>
          <w:sz w:val="32"/>
          <w:szCs w:val="32"/>
          <w:lang w:val="en-US" w:eastAsia="zh-CN"/>
        </w:rPr>
        <w:t>改</w:t>
      </w:r>
      <w:r>
        <w:rPr>
          <w:rFonts w:hint="eastAsia" w:eastAsia="仿宋_GB2312" w:cs="仿宋_GB2312"/>
          <w:b/>
          <w:bCs/>
          <w:sz w:val="32"/>
          <w:szCs w:val="32"/>
          <w:lang w:val="en-US" w:eastAsia="zh-CN"/>
        </w:rPr>
        <w:t>革</w:t>
      </w:r>
      <w:r>
        <w:rPr>
          <w:rFonts w:hint="eastAsia" w:ascii="Times New Roman" w:hAnsi="Times New Roman" w:eastAsia="仿宋_GB2312" w:cs="仿宋_GB2312"/>
          <w:b/>
          <w:bCs/>
          <w:sz w:val="32"/>
          <w:szCs w:val="32"/>
          <w:lang w:val="en-US" w:eastAsia="zh-CN"/>
        </w:rPr>
        <w:t>委、区委国安办、区网信办等）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六、深化机制改革做优营商环境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（十九）创新审批服务机制</w:t>
      </w:r>
      <w:r>
        <w:rPr>
          <w:rFonts w:hint="eastAsia" w:ascii="Times New Roman" w:hAnsi="Times New Roman" w:eastAsia="楷体_GB2312" w:cs="楷体_GB2312"/>
          <w:sz w:val="32"/>
          <w:szCs w:val="32"/>
          <w:lang w:val="en-US" w:eastAsia="zh-CN"/>
        </w:rPr>
        <w:t>。</w:t>
      </w:r>
      <w:r>
        <w:rPr>
          <w:rFonts w:hint="eastAsia" w:ascii="Times New Roman" w:hAnsi="Times New Roman" w:eastAsia="仿宋_GB2312" w:cs="仿宋_GB2312"/>
          <w:sz w:val="32"/>
          <w:szCs w:val="32"/>
          <w:lang w:val="en-US" w:eastAsia="zh-CN"/>
        </w:rPr>
        <w:t>做响“营南爱商”服务品牌，用好“政企同行·有需必应”企业服务机制，打造市场化、法治化、国际化一流营商环境。落实国务院、天津市“高效办成一件事”决策部署，推动政务服务从“能办”向“好办”“快办”转变。实施工程建设项目“一对一”服务专员制度，主动靠前服务，从立项到投产全流程帮办代办。持续推进“跨省通办”，积极推动京津冀政务服务一体化改革，全方位提升政务服务质效。深化信用在政务服务领域的应用，依据统一、公开的信用评价标准，为符合条件的守信市场主体提供“绿色通道”“承诺即准营”等便利。</w:t>
      </w:r>
      <w:r>
        <w:rPr>
          <w:rFonts w:hint="eastAsia" w:ascii="Times New Roman" w:hAnsi="Times New Roman" w:eastAsia="仿宋_GB2312" w:cs="仿宋_GB2312"/>
          <w:b/>
          <w:bCs/>
          <w:sz w:val="32"/>
          <w:szCs w:val="32"/>
          <w:lang w:val="en-US" w:eastAsia="zh-CN"/>
        </w:rPr>
        <w:t>（</w:t>
      </w:r>
      <w:r>
        <w:rPr>
          <w:rFonts w:hint="eastAsia" w:ascii="Times New Roman" w:hAnsi="Times New Roman" w:eastAsia="仿宋_GB2312" w:cs="仿宋_GB2312"/>
          <w:b/>
          <w:bCs/>
          <w:sz w:val="32"/>
          <w:szCs w:val="32"/>
          <w:lang w:eastAsia="zh-CN"/>
        </w:rPr>
        <w:t>责任单位</w:t>
      </w:r>
      <w:r>
        <w:rPr>
          <w:rFonts w:hint="eastAsia" w:ascii="Times New Roman" w:hAnsi="Times New Roman" w:eastAsia="仿宋_GB2312" w:cs="仿宋_GB2312"/>
          <w:b/>
          <w:bCs/>
          <w:sz w:val="32"/>
          <w:szCs w:val="32"/>
          <w:lang w:val="en-US" w:eastAsia="zh-CN"/>
        </w:rPr>
        <w:t>：区政务服务办、区发</w:t>
      </w:r>
      <w:r>
        <w:rPr>
          <w:rFonts w:hint="eastAsia" w:eastAsia="仿宋_GB2312" w:cs="仿宋_GB2312"/>
          <w:b/>
          <w:bCs/>
          <w:sz w:val="32"/>
          <w:szCs w:val="32"/>
          <w:lang w:val="en-US" w:eastAsia="zh-CN"/>
        </w:rPr>
        <w:t>展</w:t>
      </w:r>
      <w:r>
        <w:rPr>
          <w:rFonts w:hint="eastAsia" w:ascii="Times New Roman" w:hAnsi="Times New Roman" w:eastAsia="仿宋_GB2312" w:cs="仿宋_GB2312"/>
          <w:b/>
          <w:bCs/>
          <w:sz w:val="32"/>
          <w:szCs w:val="32"/>
          <w:lang w:val="en-US" w:eastAsia="zh-CN"/>
        </w:rPr>
        <w:t>改</w:t>
      </w:r>
      <w:r>
        <w:rPr>
          <w:rFonts w:hint="eastAsia" w:eastAsia="仿宋_GB2312" w:cs="仿宋_GB2312"/>
          <w:b/>
          <w:bCs/>
          <w:sz w:val="32"/>
          <w:szCs w:val="32"/>
          <w:lang w:val="en-US" w:eastAsia="zh-CN"/>
        </w:rPr>
        <w:t>革</w:t>
      </w:r>
      <w:r>
        <w:rPr>
          <w:rFonts w:hint="eastAsia" w:ascii="Times New Roman" w:hAnsi="Times New Roman" w:eastAsia="仿宋_GB2312" w:cs="仿宋_GB2312"/>
          <w:b/>
          <w:bCs/>
          <w:sz w:val="32"/>
          <w:szCs w:val="32"/>
          <w:lang w:val="en-US" w:eastAsia="zh-CN"/>
        </w:rPr>
        <w:t>委等）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val="en-US" w:eastAsia="zh-CN"/>
        </w:rPr>
      </w:pPr>
      <w:r>
        <w:rPr>
          <w:rFonts w:hint="eastAsia" w:ascii="Times New Roman" w:hAnsi="Times New Roman" w:eastAsia="楷体_GB2312" w:cs="楷体_GB2312"/>
          <w:sz w:val="32"/>
          <w:szCs w:val="32"/>
          <w:lang w:eastAsia="zh-CN"/>
        </w:rPr>
        <w:t>（二十）深化区属国有企业改革</w:t>
      </w:r>
      <w:r>
        <w:rPr>
          <w:rFonts w:hint="eastAsia" w:ascii="Times New Roman" w:hAnsi="Times New Roman" w:eastAsia="楷体_GB2312" w:cs="楷体_GB2312"/>
          <w:sz w:val="32"/>
          <w:szCs w:val="32"/>
          <w:lang w:val="en-US" w:eastAsia="zh-CN"/>
        </w:rPr>
        <w:t>。</w:t>
      </w:r>
      <w:r>
        <w:rPr>
          <w:rFonts w:hint="eastAsia" w:ascii="Times New Roman" w:hAnsi="Times New Roman" w:eastAsia="仿宋_GB2312" w:cs="仿宋_GB2312"/>
          <w:sz w:val="32"/>
          <w:szCs w:val="32"/>
          <w:lang w:val="en-US" w:eastAsia="zh-CN"/>
        </w:rPr>
        <w:t>推动津南国投</w:t>
      </w:r>
      <w:r>
        <w:rPr>
          <w:rFonts w:hint="eastAsia" w:eastAsia="仿宋_GB2312" w:cs="仿宋_GB2312"/>
          <w:sz w:val="32"/>
          <w:szCs w:val="32"/>
          <w:lang w:val="en-US" w:eastAsia="zh-CN"/>
        </w:rPr>
        <w:t>集团</w:t>
      </w:r>
      <w:r>
        <w:rPr>
          <w:rFonts w:hint="eastAsia" w:ascii="Times New Roman" w:hAnsi="Times New Roman" w:eastAsia="仿宋_GB2312" w:cs="仿宋_GB2312"/>
          <w:sz w:val="32"/>
          <w:szCs w:val="32"/>
          <w:lang w:val="en-US" w:eastAsia="zh-CN"/>
        </w:rPr>
        <w:t>、智谷公司等区属国有资本向前瞻性战略性新兴产业、未来产业及重要关键领域集中，积极参与重点产业布局和科技创新投资。完善区属国有企业主责主业动态管理办法，实施“一企一策”，引导企业剥离非主营业务和非优势业务，清退低效无效资产，实现“瘦身健体”。深化国有企业市场化经营机制改革，构建以差异化效益效率为核心的考核评价体系，加快实现国有资源市场化、国有资产证券化、国有资金杠杆化。构建全过程风险评估体系，强化投资运营风险识别、预警和处置能力建设，保障国有资本安全与保值增值。</w:t>
      </w:r>
      <w:r>
        <w:rPr>
          <w:rFonts w:hint="eastAsia" w:ascii="Times New Roman" w:hAnsi="Times New Roman" w:eastAsia="仿宋_GB2312" w:cs="仿宋_GB2312"/>
          <w:b/>
          <w:bCs/>
          <w:sz w:val="32"/>
          <w:szCs w:val="32"/>
          <w:lang w:val="en-US" w:eastAsia="zh-CN"/>
        </w:rPr>
        <w:t>（</w:t>
      </w:r>
      <w:r>
        <w:rPr>
          <w:rFonts w:hint="eastAsia" w:ascii="Times New Roman" w:hAnsi="Times New Roman" w:eastAsia="仿宋_GB2312" w:cs="仿宋_GB2312"/>
          <w:b/>
          <w:bCs/>
          <w:sz w:val="32"/>
          <w:szCs w:val="32"/>
          <w:lang w:eastAsia="zh-CN"/>
        </w:rPr>
        <w:t>责任单位</w:t>
      </w:r>
      <w:r>
        <w:rPr>
          <w:rFonts w:hint="eastAsia" w:ascii="Times New Roman" w:hAnsi="Times New Roman" w:eastAsia="仿宋_GB2312" w:cs="仿宋_GB2312"/>
          <w:b/>
          <w:bCs/>
          <w:sz w:val="32"/>
          <w:szCs w:val="32"/>
          <w:lang w:val="en-US" w:eastAsia="zh-CN"/>
        </w:rPr>
        <w:t>：区国资委）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楷体_GB2312" w:cs="楷体_GB2312"/>
          <w:sz w:val="32"/>
          <w:szCs w:val="32"/>
          <w:lang w:eastAsia="zh-CN"/>
        </w:rPr>
        <w:t>（二十一）深度落实“四管六招”</w:t>
      </w:r>
      <w:r>
        <w:rPr>
          <w:rFonts w:hint="eastAsia" w:ascii="Times New Roman" w:hAnsi="Times New Roman" w:eastAsia="楷体_GB2312" w:cs="楷体_GB2312"/>
          <w:sz w:val="32"/>
          <w:szCs w:val="32"/>
          <w:lang w:val="en-US" w:eastAsia="zh-CN"/>
        </w:rPr>
        <w:t>。</w:t>
      </w:r>
      <w:r>
        <w:rPr>
          <w:rFonts w:hint="eastAsia" w:ascii="Times New Roman" w:hAnsi="Times New Roman" w:eastAsia="仿宋_GB2312" w:cs="仿宋_GB2312"/>
          <w:sz w:val="32"/>
          <w:szCs w:val="32"/>
          <w:lang w:val="en-US" w:eastAsia="zh-CN"/>
        </w:rPr>
        <w:t>强化投</w:t>
      </w:r>
      <w:r>
        <w:rPr>
          <w:rFonts w:hint="eastAsia" w:eastAsia="仿宋_GB2312" w:cs="仿宋_GB2312"/>
          <w:sz w:val="32"/>
          <w:szCs w:val="32"/>
          <w:lang w:val="en-US" w:eastAsia="zh-CN"/>
        </w:rPr>
        <w:t>资</w:t>
      </w:r>
      <w:r>
        <w:rPr>
          <w:rFonts w:hint="eastAsia" w:ascii="Times New Roman" w:hAnsi="Times New Roman" w:eastAsia="仿宋_GB2312" w:cs="仿宋_GB2312"/>
          <w:sz w:val="32"/>
          <w:szCs w:val="32"/>
          <w:lang w:val="en-US" w:eastAsia="zh-CN"/>
        </w:rPr>
        <w:t>促</w:t>
      </w:r>
      <w:r>
        <w:rPr>
          <w:rFonts w:hint="eastAsia" w:eastAsia="仿宋_GB2312" w:cs="仿宋_GB2312"/>
          <w:sz w:val="32"/>
          <w:szCs w:val="32"/>
          <w:lang w:val="en-US" w:eastAsia="zh-CN"/>
        </w:rPr>
        <w:t>进</w:t>
      </w:r>
      <w:r>
        <w:rPr>
          <w:rFonts w:hint="eastAsia" w:ascii="Times New Roman" w:hAnsi="Times New Roman" w:eastAsia="仿宋_GB2312" w:cs="仿宋_GB2312"/>
          <w:sz w:val="32"/>
          <w:szCs w:val="32"/>
          <w:lang w:val="en-US" w:eastAsia="zh-CN"/>
        </w:rPr>
        <w:t>局“管总”统筹、行业部门“管建”协同、各镇园区“管战”落地、国有企业“管投”引领的职责分工。做实项目全生命周期管理，动态完善全区重点招商目标企业、产业链集群、创新资源名录“三张清单”，牵头绘制产业招商地图。综合运用资本招商、以商招商、产业链招商等多元手段，引进一批高质量项目和行业龙头企业，引育更多富有科技含量、环境质量、就业容量、税源增量的项目，加速创新资源和产业资源集聚。</w:t>
      </w:r>
      <w:r>
        <w:rPr>
          <w:rFonts w:hint="eastAsia" w:ascii="Times New Roman" w:hAnsi="Times New Roman" w:eastAsia="仿宋_GB2312" w:cs="仿宋_GB2312"/>
          <w:b/>
          <w:bCs/>
          <w:sz w:val="32"/>
          <w:szCs w:val="32"/>
          <w:lang w:val="en-US" w:eastAsia="zh-CN"/>
        </w:rPr>
        <w:t>（</w:t>
      </w:r>
      <w:r>
        <w:rPr>
          <w:rFonts w:hint="eastAsia" w:ascii="Times New Roman" w:hAnsi="Times New Roman" w:eastAsia="仿宋_GB2312" w:cs="仿宋_GB2312"/>
          <w:b/>
          <w:bCs/>
          <w:sz w:val="32"/>
          <w:szCs w:val="32"/>
          <w:lang w:eastAsia="zh-CN"/>
        </w:rPr>
        <w:t>责任单位</w:t>
      </w:r>
      <w:r>
        <w:rPr>
          <w:rFonts w:hint="eastAsia" w:ascii="Times New Roman" w:hAnsi="Times New Roman" w:eastAsia="仿宋_GB2312" w:cs="仿宋_GB2312"/>
          <w:b/>
          <w:bCs/>
          <w:sz w:val="32"/>
          <w:szCs w:val="32"/>
          <w:lang w:val="en-US" w:eastAsia="zh-CN"/>
        </w:rPr>
        <w:t>：区投资促进局）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楷体_GB2312" w:cs="楷体_GB2312"/>
          <w:sz w:val="32"/>
          <w:szCs w:val="32"/>
          <w:lang w:eastAsia="zh-CN"/>
        </w:rPr>
        <w:t>（二十二）凝聚组织及统筹合力</w:t>
      </w:r>
      <w:r>
        <w:rPr>
          <w:rFonts w:hint="eastAsia" w:ascii="Times New Roman" w:hAnsi="Times New Roman" w:eastAsia="楷体_GB2312" w:cs="楷体_GB2312"/>
          <w:sz w:val="32"/>
          <w:szCs w:val="32"/>
          <w:lang w:val="en-US" w:eastAsia="zh-CN"/>
        </w:rPr>
        <w:t>。</w:t>
      </w:r>
      <w:r>
        <w:rPr>
          <w:rFonts w:hint="eastAsia" w:ascii="Times New Roman" w:hAnsi="Times New Roman" w:eastAsia="仿宋_GB2312" w:cs="仿宋_GB2312"/>
          <w:sz w:val="32"/>
          <w:szCs w:val="32"/>
          <w:lang w:val="en-US" w:eastAsia="zh-CN"/>
        </w:rPr>
        <w:t>依托产业引育工作专班，统筹推进全区产业高质量发展和新质生产力培育工作。各责任单位按照责任分工，严格落实全国统一大市场部署，依法依规统筹资金、人才、平台、服务等多元化政策工具，制定各领域及各行业的专项扶持措施和具体落实细则，构建完善、闭环的津南区产业高质量发展措施体系。科学研判趋势变化，系统建立产业监测及评价指标体系，定期开展综合评估，扎实掌握发展实效，为政策调整及优化布局提供决策支撑。</w:t>
      </w:r>
      <w:r>
        <w:rPr>
          <w:rFonts w:hint="eastAsia" w:ascii="Times New Roman" w:hAnsi="Times New Roman" w:eastAsia="仿宋_GB2312" w:cs="仿宋_GB2312"/>
          <w:b/>
          <w:bCs/>
          <w:sz w:val="32"/>
          <w:szCs w:val="32"/>
          <w:lang w:eastAsia="zh-CN"/>
        </w:rPr>
        <w:t>（责任单位：各责任单位按照职责分工负责）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本实施意见自印发之日起执行，</w:t>
      </w:r>
      <w:r>
        <w:rPr>
          <w:rFonts w:hint="eastAsia" w:ascii="Times New Roman" w:hAnsi="Times New Roman" w:eastAsia="仿宋_GB2312" w:cs="仿宋_GB2312"/>
          <w:sz w:val="32"/>
          <w:szCs w:val="32"/>
        </w:rPr>
        <w:t>试行三年</w:t>
      </w:r>
      <w:r>
        <w:rPr>
          <w:rFonts w:hint="eastAsia" w:ascii="Times New Roman" w:hAnsi="Times New Roman" w:eastAsia="仿宋_GB2312" w:cs="仿宋_GB2312"/>
          <w:sz w:val="32"/>
          <w:szCs w:val="32"/>
          <w:lang w:val="en-US" w:eastAsia="zh-CN"/>
        </w:rPr>
        <w:t>。原有的《津南区产业引育若干措施》同步废止。有效期内有关法律政策依据变化或执行不理想的条款，将根据实施情况适时予以评估调整。各条政策实施细则由政策牵头责任单位研究制定并组织实施。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p>
    <w:p>
      <w:pPr>
        <w:pStyle w:val="7"/>
        <w:widowControl w:val="0"/>
        <w:spacing w:before="0" w:beforeAutospacing="0" w:after="0" w:afterAutospacing="0" w:line="560" w:lineRule="exact"/>
        <w:rPr>
          <w:rFonts w:hint="eastAsia" w:ascii="Times New Roman" w:hAnsi="Times New Roman" w:eastAsia="仿宋_GB2312" w:cs="Times New Roman"/>
          <w:sz w:val="32"/>
          <w:szCs w:val="32"/>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640" w:lineRule="exact"/>
        <w:textAlignment w:val="auto"/>
        <w:rPr>
          <w:rFonts w:hint="eastAsia" w:ascii="Times New Roman" w:hAnsi="Times New Roman" w:eastAsia="仿宋_GB2312" w:cs="Times New Roman"/>
          <w:sz w:val="32"/>
          <w:szCs w:val="32"/>
        </w:rPr>
      </w:pP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640" w:lineRule="exact"/>
        <w:textAlignment w:val="auto"/>
        <w:rPr>
          <w:rFonts w:hint="eastAsia"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700" w:lineRule="exact"/>
        <w:ind w:firstLine="640" w:firstLineChars="200"/>
        <w:textAlignment w:val="auto"/>
        <w:rPr>
          <w:rFonts w:hint="eastAsia" w:ascii="Times New Roman" w:hAnsi="Times New Roman" w:eastAsia="仿宋_GB2312"/>
          <w:sz w:val="32"/>
          <w:szCs w:val="32"/>
        </w:rPr>
      </w:pPr>
    </w:p>
    <w:p>
      <w:pPr>
        <w:spacing w:line="600" w:lineRule="exact"/>
        <w:ind w:firstLine="640" w:firstLineChars="200"/>
        <w:rPr>
          <w:rFonts w:hint="eastAsia" w:ascii="Times New Roman" w:hAnsi="Times New Roman" w:eastAsia="仿宋_GB2312"/>
          <w:sz w:val="32"/>
          <w:szCs w:val="32"/>
        </w:rPr>
      </w:pPr>
    </w:p>
    <w:p>
      <w:pPr>
        <w:pStyle w:val="7"/>
        <w:widowControl w:val="0"/>
        <w:spacing w:before="0" w:beforeAutospacing="0" w:after="0" w:afterAutospacing="0" w:line="720" w:lineRule="exact"/>
        <w:rPr>
          <w:rFonts w:hint="eastAsia" w:ascii="Times New Roman" w:hAnsi="Times New Roman" w:eastAsia="仿宋_GB2312" w:cs="Times New Roman"/>
          <w:sz w:val="32"/>
          <w:szCs w:val="32"/>
        </w:rPr>
      </w:pPr>
    </w:p>
    <w:p>
      <w:pPr>
        <w:adjustRightInd w:val="0"/>
        <w:snapToGrid w:val="0"/>
        <w:spacing w:line="20" w:lineRule="exact"/>
        <w:ind w:firstLine="640" w:firstLineChars="200"/>
        <w:rPr>
          <w:rFonts w:ascii="Times New Roman" w:hAnsi="Times New Roman" w:eastAsia="仿宋_GB2312"/>
          <w:sz w:val="32"/>
          <w:szCs w:val="32"/>
        </w:rPr>
      </w:pPr>
    </w:p>
    <w:p>
      <w:pPr>
        <w:pStyle w:val="2"/>
        <w:snapToGrid w:val="0"/>
        <w:spacing w:before="0" w:beforeAutospacing="0" w:after="0" w:afterAutospacing="0" w:line="20" w:lineRule="exact"/>
        <w:jc w:val="center"/>
        <w:rPr>
          <w:rFonts w:hint="eastAsia" w:ascii="Times New Roman" w:hAnsi="Times New Roman"/>
        </w:rPr>
      </w:pPr>
    </w:p>
    <w:sectPr>
      <w:footerReference r:id="rId3" w:type="default"/>
      <w:footerReference r:id="rId4" w:type="even"/>
      <w:pgSz w:w="11906" w:h="16838"/>
      <w:pgMar w:top="2041" w:right="1531" w:bottom="2041" w:left="1531" w:header="851" w:footer="164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left="420" w:leftChars="200" w:right="420" w:rightChars="200"/>
      <w:rPr>
        <w:rStyle w:val="11"/>
        <w:rFonts w:ascii="宋体" w:hAnsi="宋体"/>
        <w:sz w:val="28"/>
        <w:szCs w:val="28"/>
      </w:rPr>
    </w:pP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- 1 -</w:t>
    </w:r>
    <w:r>
      <w:rPr>
        <w:rFonts w:ascii="宋体" w:hAnsi="宋体"/>
        <w:sz w:val="28"/>
        <w:szCs w:val="28"/>
      </w:rP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left="420" w:leftChars="200" w:right="420" w:rightChars="200"/>
      <w:rPr>
        <w:rStyle w:val="11"/>
        <w:rFonts w:ascii="宋体" w:hAnsi="宋体"/>
        <w:sz w:val="28"/>
        <w:szCs w:val="28"/>
      </w:rPr>
    </w:pP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- 2 -</w:t>
    </w:r>
    <w:r>
      <w:rPr>
        <w:rFonts w:ascii="宋体" w:hAnsi="宋体"/>
        <w:sz w:val="28"/>
        <w:szCs w:val="28"/>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5E4B"/>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6B90"/>
    <w:rsid w:val="00520944"/>
    <w:rsid w:val="005213FE"/>
    <w:rsid w:val="00521D24"/>
    <w:rsid w:val="005231D2"/>
    <w:rsid w:val="00523ED0"/>
    <w:rsid w:val="00527774"/>
    <w:rsid w:val="005366CE"/>
    <w:rsid w:val="00536B90"/>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A0372"/>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D49E5"/>
    <w:rsid w:val="008F54E5"/>
    <w:rsid w:val="00903EC0"/>
    <w:rsid w:val="009110EE"/>
    <w:rsid w:val="00926FCC"/>
    <w:rsid w:val="00942E21"/>
    <w:rsid w:val="00943F1B"/>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60AC"/>
    <w:rsid w:val="00AB09C3"/>
    <w:rsid w:val="00AB3118"/>
    <w:rsid w:val="00AB481A"/>
    <w:rsid w:val="00AC0207"/>
    <w:rsid w:val="00AC179B"/>
    <w:rsid w:val="00AC4BBD"/>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9356E"/>
    <w:rsid w:val="00BB066D"/>
    <w:rsid w:val="00BB1444"/>
    <w:rsid w:val="00BB14A6"/>
    <w:rsid w:val="00BC3A82"/>
    <w:rsid w:val="00BD0984"/>
    <w:rsid w:val="00BD2C3E"/>
    <w:rsid w:val="00BE63FC"/>
    <w:rsid w:val="00BF1098"/>
    <w:rsid w:val="00BF44C8"/>
    <w:rsid w:val="00BF63F0"/>
    <w:rsid w:val="00BF6EFC"/>
    <w:rsid w:val="00C2314E"/>
    <w:rsid w:val="00C40BF9"/>
    <w:rsid w:val="00C45974"/>
    <w:rsid w:val="00C54AC1"/>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7E2C"/>
    <w:rsid w:val="00D46B61"/>
    <w:rsid w:val="00D578C5"/>
    <w:rsid w:val="00D61426"/>
    <w:rsid w:val="00D701F9"/>
    <w:rsid w:val="00D76064"/>
    <w:rsid w:val="00D858BA"/>
    <w:rsid w:val="00D90738"/>
    <w:rsid w:val="00D9353E"/>
    <w:rsid w:val="00D9693A"/>
    <w:rsid w:val="00DB24B8"/>
    <w:rsid w:val="00DB525C"/>
    <w:rsid w:val="00DB7116"/>
    <w:rsid w:val="00DB7A9C"/>
    <w:rsid w:val="00DC4FDE"/>
    <w:rsid w:val="00DD3AEA"/>
    <w:rsid w:val="00DD4D2E"/>
    <w:rsid w:val="00DF330A"/>
    <w:rsid w:val="00DF58D1"/>
    <w:rsid w:val="00E00520"/>
    <w:rsid w:val="00E17F0E"/>
    <w:rsid w:val="00E201E6"/>
    <w:rsid w:val="00E424CF"/>
    <w:rsid w:val="00E506B6"/>
    <w:rsid w:val="00E56D74"/>
    <w:rsid w:val="00E6118E"/>
    <w:rsid w:val="00E63A2B"/>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0DAC1307"/>
    <w:rsid w:val="2BA02F26"/>
    <w:rsid w:val="4ABD0F56"/>
    <w:rsid w:val="4F667698"/>
    <w:rsid w:val="63B70639"/>
    <w:rsid w:val="6A291723"/>
    <w:rsid w:val="6F0EDBB0"/>
    <w:rsid w:val="7FBF808E"/>
    <w:rsid w:val="D6BFC5AB"/>
    <w:rsid w:val="EDDF00CE"/>
    <w:rsid w:val="FCE72462"/>
    <w:rsid w:val="FFBE5E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before="100" w:beforeAutospacing="1" w:after="100" w:afterAutospacing="1"/>
      <w:jc w:val="left"/>
    </w:pPr>
    <w:rPr>
      <w:rFonts w:ascii="宋体" w:hAnsi="宋体" w:cs="宋体"/>
      <w:kern w:val="0"/>
      <w:sz w:val="24"/>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Indent 3"/>
    <w:basedOn w:val="1"/>
    <w:qFormat/>
    <w:uiPriority w:val="0"/>
    <w:pPr>
      <w:spacing w:after="120"/>
      <w:ind w:left="420" w:leftChars="200"/>
    </w:pPr>
    <w:rPr>
      <w:sz w:val="16"/>
      <w:szCs w:val="16"/>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0">
    <w:name w:val="Strong"/>
    <w:qFormat/>
    <w:uiPriority w:val="0"/>
    <w:rPr>
      <w:b/>
      <w:bCs/>
    </w:rPr>
  </w:style>
  <w:style w:type="character" w:styleId="11">
    <w:name w:val="page number"/>
    <w:basedOn w:val="9"/>
    <w:qFormat/>
    <w:uiPriority w:val="0"/>
  </w:style>
  <w:style w:type="character" w:styleId="12">
    <w:name w:val="Hyperlink"/>
    <w:unhideWhenUsed/>
    <w:qFormat/>
    <w:uiPriority w:val="0"/>
    <w:rPr>
      <w:color w:val="0000FF"/>
      <w:u w:val="single"/>
    </w:rPr>
  </w:style>
  <w:style w:type="paragraph" w:customStyle="1" w:styleId="13">
    <w:name w:val="p0"/>
    <w:basedOn w:val="1"/>
    <w:qFormat/>
    <w:uiPriority w:val="0"/>
    <w:pPr>
      <w:widowControl/>
    </w:pPr>
    <w:rPr>
      <w:rFonts w:ascii="Calibri" w:hAnsi="Calibri" w:cs="宋体"/>
      <w:kern w:val="0"/>
      <w:szCs w:val="21"/>
    </w:rPr>
  </w:style>
  <w:style w:type="paragraph" w:customStyle="1" w:styleId="14">
    <w:name w:val="黑体"/>
    <w:basedOn w:val="1"/>
    <w:next w:val="1"/>
    <w:link w:val="17"/>
    <w:qFormat/>
    <w:uiPriority w:val="0"/>
    <w:pPr>
      <w:kinsoku w:val="0"/>
      <w:spacing w:line="560" w:lineRule="exact"/>
      <w:ind w:firstLine="200" w:firstLineChars="200"/>
    </w:pPr>
    <w:rPr>
      <w:rFonts w:eastAsia="黑体"/>
      <w:kern w:val="0"/>
      <w:sz w:val="32"/>
      <w:szCs w:val="20"/>
    </w:rPr>
  </w:style>
  <w:style w:type="paragraph" w:customStyle="1" w:styleId="15">
    <w:name w:val="楷体"/>
    <w:basedOn w:val="1"/>
    <w:next w:val="1"/>
    <w:link w:val="19"/>
    <w:qFormat/>
    <w:uiPriority w:val="0"/>
    <w:pPr>
      <w:kinsoku w:val="0"/>
      <w:spacing w:line="560" w:lineRule="exact"/>
      <w:ind w:firstLine="200" w:firstLineChars="200"/>
    </w:pPr>
    <w:rPr>
      <w:rFonts w:eastAsia="楷体"/>
      <w:kern w:val="0"/>
      <w:sz w:val="32"/>
      <w:szCs w:val="20"/>
    </w:rPr>
  </w:style>
  <w:style w:type="paragraph" w:customStyle="1" w:styleId="16">
    <w:name w:val="小标宋"/>
    <w:basedOn w:val="1"/>
    <w:next w:val="1"/>
    <w:link w:val="18"/>
    <w:qFormat/>
    <w:uiPriority w:val="0"/>
    <w:pPr>
      <w:kinsoku w:val="0"/>
      <w:spacing w:line="640" w:lineRule="exact"/>
      <w:jc w:val="center"/>
    </w:pPr>
    <w:rPr>
      <w:rFonts w:eastAsia="方正小标宋简体"/>
      <w:kern w:val="0"/>
      <w:sz w:val="44"/>
      <w:szCs w:val="20"/>
    </w:rPr>
  </w:style>
  <w:style w:type="character" w:customStyle="1" w:styleId="17">
    <w:name w:val="黑体 Char"/>
    <w:link w:val="14"/>
    <w:qFormat/>
    <w:uiPriority w:val="0"/>
    <w:rPr>
      <w:rFonts w:eastAsia="黑体"/>
      <w:sz w:val="32"/>
      <w:lang w:bidi="ar-SA"/>
    </w:rPr>
  </w:style>
  <w:style w:type="character" w:customStyle="1" w:styleId="18">
    <w:name w:val="小标宋 Char"/>
    <w:link w:val="16"/>
    <w:qFormat/>
    <w:uiPriority w:val="0"/>
    <w:rPr>
      <w:rFonts w:eastAsia="方正小标宋简体"/>
      <w:sz w:val="44"/>
      <w:lang w:bidi="ar-SA"/>
    </w:rPr>
  </w:style>
  <w:style w:type="character" w:customStyle="1" w:styleId="19">
    <w:name w:val="楷体 Char"/>
    <w:link w:val="15"/>
    <w:qFormat/>
    <w:uiPriority w:val="0"/>
    <w:rPr>
      <w:rFonts w:eastAsia="楷体"/>
      <w:sz w:val="32"/>
      <w:lang w:bidi="ar-SA"/>
    </w:rPr>
  </w:style>
  <w:style w:type="character" w:customStyle="1" w:styleId="20">
    <w:name w:val="Hei Ti"/>
    <w:qFormat/>
    <w:uiPriority w:val="0"/>
    <w:rPr>
      <w:rFonts w:ascii="黑体" w:hAnsi="黑体" w:eastAsia="黑体" w:cs="黑体"/>
      <w:sz w:val="32"/>
    </w:rPr>
  </w:style>
  <w:style w:type="character" w:customStyle="1" w:styleId="21">
    <w:name w:val="Hei Ti Bold"/>
    <w:qFormat/>
    <w:uiPriority w:val="0"/>
    <w:rPr>
      <w:rFonts w:ascii="黑体" w:hAnsi="黑体" w:eastAsia="黑体" w:cs="黑体"/>
      <w:b/>
      <w:sz w:val="32"/>
    </w:rPr>
  </w:style>
  <w:style w:type="character" w:customStyle="1" w:styleId="22">
    <w:name w:val="Hei Ti Bold1"/>
    <w:qFormat/>
    <w:uiPriority w:val="0"/>
    <w:rPr>
      <w:rFonts w:ascii="黑体" w:hAnsi="黑体" w:eastAsia="黑体" w:cs="黑体"/>
      <w:b/>
      <w:sz w:val="36"/>
    </w:rPr>
  </w:style>
  <w:style w:type="character" w:customStyle="1" w:styleId="23">
    <w:name w:val="GB_2312"/>
    <w:qFormat/>
    <w:uiPriority w:val="0"/>
    <w:rPr>
      <w:rFonts w:ascii="仿宋_GB2312" w:hAnsi="仿宋_GB2312" w:eastAsia="仿宋_GB2312" w:cs="仿宋_GB2312"/>
      <w:sz w:val="32"/>
    </w:rPr>
  </w:style>
  <w:style w:type="character" w:customStyle="1" w:styleId="24">
    <w:name w:val="GB_23121"/>
    <w:qFormat/>
    <w:uiPriority w:val="0"/>
    <w:rPr>
      <w:rFonts w:ascii="仿宋_GB2312" w:hAnsi="仿宋_GB2312" w:eastAsia="仿宋_GB2312" w:cs="仿宋_GB2312"/>
      <w:sz w:val="36"/>
    </w:rPr>
  </w:style>
  <w:style w:type="character" w:customStyle="1" w:styleId="25">
    <w:name w:val="Red_Color"/>
    <w:qFormat/>
    <w:uiPriority w:val="0"/>
    <w:rPr>
      <w:rFonts w:ascii="方正小标宋简体" w:hAnsi="方正小标宋简体" w:eastAsia="方正小标宋简体" w:cs="方正小标宋简体"/>
      <w:color w:val="000000"/>
      <w:sz w:val="65"/>
    </w:rPr>
  </w:style>
  <w:style w:type="character" w:customStyle="1" w:styleId="26">
    <w:name w:val="KaiTi"/>
    <w:qFormat/>
    <w:uiPriority w:val="0"/>
    <w:rPr>
      <w:rFonts w:ascii="楷体_GB2312" w:hAnsi="楷体_GB2312" w:eastAsia="楷体_GB2312" w:cs="楷体_GB2312"/>
      <w:sz w:val="32"/>
    </w:rPr>
  </w:style>
  <w:style w:type="character" w:customStyle="1" w:styleId="27">
    <w:name w:val="Fz_Xbs"/>
    <w:qFormat/>
    <w:uiPriority w:val="0"/>
    <w:rPr>
      <w:rFonts w:ascii="方正小标宋简体" w:hAnsi="方正小标宋简体" w:eastAsia="方正小标宋简体" w:cs="方正小标宋简体"/>
      <w:sz w:val="44"/>
    </w:rPr>
  </w:style>
  <w:style w:type="character" w:customStyle="1" w:styleId="28">
    <w:name w:val="Hei Ti1"/>
    <w:qFormat/>
    <w:uiPriority w:val="0"/>
    <w:rPr>
      <w:rFonts w:ascii="黑体" w:hAnsi="黑体" w:eastAsia="黑体" w:cs="黑体"/>
      <w:sz w:val="32"/>
    </w:rPr>
  </w:style>
  <w:style w:type="character" w:customStyle="1" w:styleId="29">
    <w:name w:val="Hei Ti Bold2"/>
    <w:qFormat/>
    <w:uiPriority w:val="0"/>
    <w:rPr>
      <w:rFonts w:ascii="黑体" w:hAnsi="黑体" w:eastAsia="黑体" w:cs="黑体"/>
      <w:b/>
      <w:sz w:val="32"/>
    </w:rPr>
  </w:style>
  <w:style w:type="character" w:customStyle="1" w:styleId="30">
    <w:name w:val="Hei Ti Bold3"/>
    <w:qFormat/>
    <w:uiPriority w:val="0"/>
    <w:rPr>
      <w:rFonts w:ascii="黑体" w:hAnsi="黑体" w:eastAsia="黑体" w:cs="黑体"/>
      <w:b/>
      <w:sz w:val="36"/>
    </w:rPr>
  </w:style>
  <w:style w:type="character" w:customStyle="1" w:styleId="31">
    <w:name w:val="GB_23122"/>
    <w:qFormat/>
    <w:uiPriority w:val="0"/>
    <w:rPr>
      <w:rFonts w:ascii="仿宋_GB2312" w:hAnsi="仿宋_GB2312" w:eastAsia="仿宋_GB2312" w:cs="仿宋_GB2312"/>
      <w:sz w:val="32"/>
    </w:rPr>
  </w:style>
  <w:style w:type="character" w:customStyle="1" w:styleId="32">
    <w:name w:val="GB_23123"/>
    <w:qFormat/>
    <w:uiPriority w:val="0"/>
    <w:rPr>
      <w:rFonts w:ascii="仿宋_GB2312" w:hAnsi="仿宋_GB2312" w:eastAsia="仿宋_GB2312" w:cs="仿宋_GB2312"/>
      <w:sz w:val="36"/>
    </w:rPr>
  </w:style>
  <w:style w:type="character" w:customStyle="1" w:styleId="33">
    <w:name w:val="Red_Color1"/>
    <w:qFormat/>
    <w:uiPriority w:val="0"/>
    <w:rPr>
      <w:rFonts w:ascii="方正小标宋简体" w:hAnsi="方正小标宋简体" w:eastAsia="方正小标宋简体" w:cs="方正小标宋简体"/>
      <w:color w:val="000000"/>
      <w:sz w:val="65"/>
    </w:rPr>
  </w:style>
  <w:style w:type="character" w:customStyle="1" w:styleId="34">
    <w:name w:val="KaiTi1"/>
    <w:qFormat/>
    <w:uiPriority w:val="0"/>
    <w:rPr>
      <w:rFonts w:ascii="楷体_GB2312" w:hAnsi="楷体_GB2312" w:eastAsia="楷体_GB2312" w:cs="楷体_GB2312"/>
      <w:sz w:val="32"/>
    </w:rPr>
  </w:style>
  <w:style w:type="character" w:customStyle="1" w:styleId="35">
    <w:name w:val="Fz_Xbs1"/>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40</Words>
  <Characters>228</Characters>
  <Lines>1</Lines>
  <Paragraphs>1</Paragraphs>
  <TotalTime>60</TotalTime>
  <ScaleCrop>false</ScaleCrop>
  <LinksUpToDate>false</LinksUpToDate>
  <CharactersWithSpaces>267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2021-06-03T16:18:00Z</dcterms:created>
  <dc:creator>微软用户</dc:creator>
  <cp:lastModifiedBy>user</cp:lastModifiedBy>
  <cp:lastPrinted>2017-11-09T08:49:00Z</cp:lastPrinted>
  <dcterms:modified xsi:type="dcterms:W3CDTF">2026-04-01T13:47:35Z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7D57C641DB73E23177B1CC6900779CA0</vt:lpwstr>
  </property>
</Properties>
</file>