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Times New Roman" w:hAnsi="Times New Roman" w:eastAsia="方正小标宋简体"/>
          <w:sz w:val="44"/>
          <w:szCs w:val="44"/>
        </w:rPr>
      </w:pPr>
      <w:bookmarkStart w:id="1" w:name="_GoBack"/>
      <w:bookmarkEnd w:id="1"/>
    </w:p>
    <w:p>
      <w:pPr>
        <w:adjustRightInd w:val="0"/>
        <w:snapToGrid w:val="0"/>
        <w:spacing w:line="540" w:lineRule="exact"/>
        <w:jc w:val="center"/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</w:pPr>
      <w:bookmarkStart w:id="0" w:name="Bt"/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津南区人民政府办公室</w:t>
      </w:r>
    </w:p>
    <w:p>
      <w:pPr>
        <w:adjustRightInd w:val="0"/>
        <w:snapToGrid w:val="0"/>
        <w:spacing w:line="540" w:lineRule="exact"/>
        <w:jc w:val="center"/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关于印发津南区人民政府2026年度</w:t>
      </w:r>
    </w:p>
    <w:p>
      <w:pPr>
        <w:adjustRightInd w:val="0"/>
        <w:snapToGrid w:val="0"/>
        <w:spacing w:line="540" w:lineRule="exact"/>
        <w:jc w:val="center"/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重大行政决策事项目录的通知</w:t>
      </w:r>
      <w:bookmarkEnd w:id="0"/>
    </w:p>
    <w:p>
      <w:pPr>
        <w:adjustRightInd w:val="0"/>
        <w:snapToGrid w:val="0"/>
        <w:spacing w:line="540" w:lineRule="exact"/>
        <w:ind w:firstLine="640" w:firstLineChars="200"/>
        <w:jc w:val="right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各街镇，各委、办、局，各直属单位 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规范重大行政决策行为，加快法治政府建设，根据《重大行政决策程序暂行条例》《天津市重大行政决策程序规定》等规定，按照《津南区人民政府办公室关于印发〈津南区重大行政决策事项年度目录管理办法〉等11个重大行政决策程序制度的通知》（津南政办发〔2021〕21号）精神，经区委、区政府同意，</w:t>
      </w:r>
      <w:r>
        <w:rPr>
          <w:rFonts w:hint="eastAsia" w:ascii="Times New Roman" w:hAnsi="Times New Roman" w:eastAsia="仿宋_GB2312"/>
          <w:sz w:val="32"/>
          <w:szCs w:val="32"/>
          <w:lang w:val="en"/>
        </w:rPr>
        <w:t>现将</w:t>
      </w:r>
      <w:r>
        <w:rPr>
          <w:rFonts w:hint="eastAsia" w:ascii="Times New Roman" w:hAnsi="Times New Roman" w:eastAsia="仿宋_GB2312"/>
          <w:sz w:val="32"/>
          <w:szCs w:val="32"/>
        </w:rPr>
        <w:t>《津南区人民政府202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年度重大行政决策事项目录》</w:t>
      </w:r>
      <w:r>
        <w:rPr>
          <w:rFonts w:hint="eastAsia" w:ascii="Times New Roman" w:hAnsi="Times New Roman" w:eastAsia="仿宋_GB2312"/>
          <w:sz w:val="32"/>
          <w:szCs w:val="32"/>
          <w:lang w:val="en"/>
        </w:rPr>
        <w:t>印发给你们，</w:t>
      </w:r>
      <w:r>
        <w:rPr>
          <w:rFonts w:hint="eastAsia" w:ascii="Times New Roman" w:hAnsi="Times New Roman" w:eastAsia="仿宋_GB2312"/>
          <w:sz w:val="32"/>
          <w:szCs w:val="32"/>
        </w:rPr>
        <w:t>并就有关工作通知如下：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一、列入目录的重大行政决策事项应当依法履行公众参与、专家论证、风险评估、合法性审查和集体讨论决定等法定程序。承办单位在提请区政府常务会议集体讨论时，应报告履行重大行政决策程序情况。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二、目录实行动态管理，根据区委、区政府年度重点工作任务的实际情况，确需对目录进行调整的，承办单位要认真研究论证，提出调整建议，按程序报经批准后</w:t>
      </w:r>
      <w:r>
        <w:rPr>
          <w:rFonts w:hint="eastAsia" w:eastAsia="仿宋_GB2312"/>
          <w:sz w:val="32"/>
          <w:szCs w:val="32"/>
          <w:lang w:val="en-US" w:eastAsia="zh-CN"/>
        </w:rPr>
        <w:t>调整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三、列入目录的重大行政决策事项，承办单位要认真组织实施，落实责任分工，把握时间节点，确保按时完成。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四、</w:t>
      </w:r>
      <w:r>
        <w:rPr>
          <w:rFonts w:hint="eastAsia" w:ascii="Times New Roman" w:hAnsi="Times New Roman" w:eastAsia="仿宋_GB2312"/>
          <w:sz w:val="32"/>
          <w:szCs w:val="32"/>
        </w:rPr>
        <w:t>列入目录的重大行政决策事项，承办单位应当</w:t>
      </w:r>
      <w:r>
        <w:rPr>
          <w:rFonts w:hint="eastAsia" w:eastAsia="仿宋_GB2312"/>
          <w:sz w:val="32"/>
          <w:szCs w:val="32"/>
          <w:lang w:eastAsia="zh-CN"/>
        </w:rPr>
        <w:t>在重大行政决策作出后</w:t>
      </w:r>
      <w:r>
        <w:rPr>
          <w:rFonts w:hint="eastAsia" w:eastAsia="仿宋_GB2312"/>
          <w:sz w:val="32"/>
          <w:szCs w:val="32"/>
          <w:lang w:val="en-US" w:eastAsia="zh-CN"/>
        </w:rPr>
        <w:t>10日内</w:t>
      </w:r>
      <w:r>
        <w:rPr>
          <w:rFonts w:hint="eastAsia" w:ascii="Times New Roman" w:hAnsi="Times New Roman" w:eastAsia="仿宋_GB2312"/>
          <w:sz w:val="32"/>
          <w:szCs w:val="32"/>
        </w:rPr>
        <w:t>，整理好</w:t>
      </w:r>
      <w:r>
        <w:rPr>
          <w:rFonts w:hint="eastAsia" w:eastAsia="仿宋_GB2312"/>
          <w:sz w:val="32"/>
          <w:szCs w:val="32"/>
          <w:lang w:eastAsia="zh-CN"/>
        </w:rPr>
        <w:t>决策</w:t>
      </w:r>
      <w:r>
        <w:rPr>
          <w:rFonts w:hint="eastAsia" w:ascii="Times New Roman" w:hAnsi="Times New Roman" w:eastAsia="仿宋_GB2312"/>
          <w:sz w:val="32"/>
          <w:szCs w:val="32"/>
        </w:rPr>
        <w:t>卷宗送区司法局审</w:t>
      </w:r>
      <w:r>
        <w:rPr>
          <w:rFonts w:hint="eastAsia" w:eastAsia="仿宋_GB2312"/>
          <w:sz w:val="32"/>
          <w:szCs w:val="32"/>
          <w:lang w:eastAsia="zh-CN"/>
        </w:rPr>
        <w:t>查后，于</w:t>
      </w:r>
      <w:r>
        <w:rPr>
          <w:rFonts w:hint="eastAsia" w:eastAsia="仿宋_GB2312"/>
          <w:sz w:val="32"/>
          <w:szCs w:val="32"/>
          <w:lang w:val="en-US" w:eastAsia="zh-CN"/>
        </w:rPr>
        <w:t>30日内向区政府办公室移交相关材料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right="1283" w:rightChars="611"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附件：津南区人民政府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年度重大行政决策事项目录</w:t>
      </w: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17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（此件主动公开）</w:t>
      </w:r>
    </w:p>
    <w:p>
      <w:pPr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津南区人民政府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重大行政决策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事项目录</w:t>
      </w: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tbl>
      <w:tblPr>
        <w:tblStyle w:val="9"/>
        <w:tblW w:w="8895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4423"/>
        <w:gridCol w:w="2160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决策事项名称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承办单位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  <w:t>时间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eastAsia="zh-CN"/>
              </w:rPr>
              <w:t>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  <w:t>1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left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《天津市津南区湿地保护规划（2024—2030年）》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区农业农村委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2026年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《天津市津南区会展经济发展“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十五五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”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规划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会展经济区管委会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2026年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left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《天津市津南区新型工业化“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十五五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”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规划》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区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-SA"/>
              </w:rPr>
              <w:t>工业和信息化局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2026年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left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《天津市津南区商务发展“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十五五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”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规划》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区商务局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2026年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left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《天津市津南区生态环境保护“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十五五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”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规划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区生态环境局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2026年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《天津市津南区教育发展“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十五五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”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规划》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区教育局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2026年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left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《天津市津南区卫生健康发展“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十五五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”</w:t>
            </w:r>
            <w:r>
              <w:rPr>
                <w:rStyle w:val="10"/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 w:bidi="ar-SA"/>
              </w:rPr>
              <w:t>规划》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5" w:leftChars="-31" w:right="-57" w:rightChars="-27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区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-SA"/>
              </w:rPr>
              <w:t>卫生健康委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2026年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14" w:lineRule="exact"/>
        <w:rPr>
          <w:rFonts w:ascii="Times New Roman" w:hAnsi="Times New Roman"/>
        </w:rPr>
      </w:pPr>
    </w:p>
    <w:p>
      <w:pPr>
        <w:spacing w:line="20" w:lineRule="exact"/>
        <w:jc w:val="center"/>
        <w:rPr>
          <w:rFonts w:hint="eastAsia" w:ascii="Times New Roman" w:hAnsi="Times New Roman" w:eastAsia="仿宋_GB2312"/>
          <w:sz w:val="32"/>
          <w:szCs w:val="32"/>
        </w:rPr>
      </w:pPr>
    </w:p>
    <w:p>
      <w:pPr>
        <w:pStyle w:val="3"/>
        <w:snapToGrid w:val="0"/>
        <w:spacing w:before="0" w:beforeAutospacing="0" w:after="0" w:afterAutospacing="0" w:line="20" w:lineRule="exact"/>
        <w:jc w:val="center"/>
        <w:rPr>
          <w:rFonts w:hint="eastAsia" w:ascii="Times New Roman" w:hAnsi="Times New Roman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5E4B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6B90"/>
    <w:rsid w:val="00520944"/>
    <w:rsid w:val="005213FE"/>
    <w:rsid w:val="00521D24"/>
    <w:rsid w:val="005231D2"/>
    <w:rsid w:val="00523ED0"/>
    <w:rsid w:val="00527774"/>
    <w:rsid w:val="005366CE"/>
    <w:rsid w:val="00536B90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A0372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D49E5"/>
    <w:rsid w:val="008F54E5"/>
    <w:rsid w:val="00903EC0"/>
    <w:rsid w:val="009110EE"/>
    <w:rsid w:val="00926FCC"/>
    <w:rsid w:val="00942E21"/>
    <w:rsid w:val="00943F1B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60AC"/>
    <w:rsid w:val="00AB09C3"/>
    <w:rsid w:val="00AB3118"/>
    <w:rsid w:val="00AB481A"/>
    <w:rsid w:val="00AC0207"/>
    <w:rsid w:val="00AC179B"/>
    <w:rsid w:val="00AC4BBD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9356E"/>
    <w:rsid w:val="00BB066D"/>
    <w:rsid w:val="00BB1444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54AC1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701F9"/>
    <w:rsid w:val="00D76064"/>
    <w:rsid w:val="00D858BA"/>
    <w:rsid w:val="00D90738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E00520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0DAC1307"/>
    <w:rsid w:val="2BA02F26"/>
    <w:rsid w:val="2CCA120A"/>
    <w:rsid w:val="3BFA019F"/>
    <w:rsid w:val="3C8D76DD"/>
    <w:rsid w:val="4ABD0F56"/>
    <w:rsid w:val="4BEB35B3"/>
    <w:rsid w:val="4F667698"/>
    <w:rsid w:val="56BF6008"/>
    <w:rsid w:val="5BB770C7"/>
    <w:rsid w:val="5FF37F62"/>
    <w:rsid w:val="63B70639"/>
    <w:rsid w:val="6A291723"/>
    <w:rsid w:val="7EF3174F"/>
    <w:rsid w:val="7FF94481"/>
    <w:rsid w:val="9AC79098"/>
    <w:rsid w:val="C1BEC962"/>
    <w:rsid w:val="DFBBA03E"/>
    <w:rsid w:val="EDCF0649"/>
    <w:rsid w:val="F8FA3E76"/>
    <w:rsid w:val="FDBC00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unhideWhenUsed/>
    <w:qFormat/>
    <w:uiPriority w:val="0"/>
    <w:rPr>
      <w:color w:val="0000FF"/>
      <w:u w:val="single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5">
    <w:name w:val="黑体"/>
    <w:basedOn w:val="1"/>
    <w:next w:val="1"/>
    <w:link w:val="18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6">
    <w:name w:val="楷体"/>
    <w:basedOn w:val="1"/>
    <w:next w:val="1"/>
    <w:link w:val="20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7">
    <w:name w:val="小标宋"/>
    <w:basedOn w:val="1"/>
    <w:next w:val="1"/>
    <w:link w:val="19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8">
    <w:name w:val="黑体 Char"/>
    <w:link w:val="15"/>
    <w:qFormat/>
    <w:uiPriority w:val="0"/>
    <w:rPr>
      <w:rFonts w:eastAsia="黑体"/>
      <w:sz w:val="32"/>
      <w:lang w:bidi="ar-SA"/>
    </w:rPr>
  </w:style>
  <w:style w:type="character" w:customStyle="1" w:styleId="19">
    <w:name w:val="小标宋 Char"/>
    <w:link w:val="17"/>
    <w:qFormat/>
    <w:uiPriority w:val="0"/>
    <w:rPr>
      <w:rFonts w:eastAsia="方正小标宋简体"/>
      <w:sz w:val="44"/>
      <w:lang w:bidi="ar-SA"/>
    </w:rPr>
  </w:style>
  <w:style w:type="character" w:customStyle="1" w:styleId="20">
    <w:name w:val="楷体 Char"/>
    <w:link w:val="16"/>
    <w:qFormat/>
    <w:uiPriority w:val="0"/>
    <w:rPr>
      <w:rFonts w:eastAsia="楷体"/>
      <w:sz w:val="32"/>
      <w:lang w:bidi="ar-SA"/>
    </w:rPr>
  </w:style>
  <w:style w:type="character" w:customStyle="1" w:styleId="21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2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3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4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5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6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7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8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9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30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31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32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33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34">
    <w:name w:val="Red_Color1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35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6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2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2021-06-06T16:18:00Z</dcterms:created>
  <dc:creator>微软用户</dc:creator>
  <cp:lastModifiedBy>user</cp:lastModifiedBy>
  <cp:lastPrinted>2017-11-12T08:49:00Z</cp:lastPrinted>
  <dcterms:modified xsi:type="dcterms:W3CDTF">2026-04-17T17:04:47Z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52BC56BA543E1900AFF7E16967A56F69</vt:lpwstr>
  </property>
</Properties>
</file>